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43" w:rsidRDefault="008B5784" w:rsidP="00752443">
      <w:pPr>
        <w:pStyle w:val="Title"/>
      </w:pPr>
      <w:r>
        <w:t>complaint</w:t>
      </w:r>
      <w:r w:rsidR="007A1223">
        <w:t>s annual performance report 2025</w:t>
      </w:r>
    </w:p>
    <w:p w:rsidR="00752443" w:rsidRDefault="00F905A0" w:rsidP="00752443">
      <w:pPr>
        <w:pStyle w:val="Heading1"/>
      </w:pPr>
      <w:r>
        <w:t xml:space="preserve"> </w:t>
      </w:r>
      <w:r w:rsidR="00752443">
        <w:t>INTRODUCTION</w:t>
      </w:r>
    </w:p>
    <w:p w:rsidR="009E79E9" w:rsidRPr="009E79E9" w:rsidRDefault="009E79E9" w:rsidP="009E79E9">
      <w:pPr>
        <w:pStyle w:val="isselectedend"/>
        <w:rPr>
          <w:rFonts w:asciiTheme="minorHAnsi" w:hAnsiTheme="minorHAnsi" w:cstheme="minorHAnsi"/>
          <w:sz w:val="18"/>
          <w:szCs w:val="18"/>
        </w:rPr>
      </w:pPr>
      <w:r w:rsidRPr="009E79E9">
        <w:rPr>
          <w:rFonts w:asciiTheme="minorHAnsi" w:hAnsiTheme="minorHAnsi" w:cstheme="minorHAnsi"/>
          <w:sz w:val="18"/>
          <w:szCs w:val="18"/>
        </w:rPr>
        <w:t xml:space="preserve">The Social Housing (Regulation) Act 2023 empowered the Housing Ombudsman to issue a Code of Practice setting out the procedures that member organisations must have in place for handling complaints. For the first time, this requirement extended to smaller housing providers, including Strides, and introduced an obligation to publish an annual review of </w:t>
      </w:r>
      <w:proofErr w:type="gramStart"/>
      <w:r w:rsidRPr="009E79E9">
        <w:rPr>
          <w:rFonts w:asciiTheme="minorHAnsi" w:hAnsiTheme="minorHAnsi" w:cstheme="minorHAnsi"/>
          <w:sz w:val="18"/>
          <w:szCs w:val="18"/>
        </w:rPr>
        <w:t>complaints</w:t>
      </w:r>
      <w:proofErr w:type="gramEnd"/>
      <w:r w:rsidRPr="009E79E9">
        <w:rPr>
          <w:rFonts w:asciiTheme="minorHAnsi" w:hAnsiTheme="minorHAnsi" w:cstheme="minorHAnsi"/>
          <w:sz w:val="18"/>
          <w:szCs w:val="18"/>
        </w:rPr>
        <w:t xml:space="preserve"> received.</w:t>
      </w:r>
    </w:p>
    <w:p w:rsidR="009E79E9" w:rsidRPr="009E79E9" w:rsidRDefault="009E79E9" w:rsidP="009E79E9">
      <w:pPr>
        <w:spacing w:before="100" w:beforeAutospacing="1" w:after="100" w:afterAutospacing="1" w:line="240" w:lineRule="auto"/>
        <w:rPr>
          <w:rFonts w:eastAsia="Times New Roman" w:cstheme="minorHAnsi"/>
          <w:kern w:val="0"/>
          <w:szCs w:val="18"/>
          <w:lang w:eastAsia="en-GB"/>
          <w14:ligatures w14:val="none"/>
        </w:rPr>
      </w:pPr>
      <w:r w:rsidRPr="009E79E9">
        <w:rPr>
          <w:rFonts w:eastAsia="Times New Roman" w:cstheme="minorHAnsi"/>
          <w:kern w:val="0"/>
          <w:szCs w:val="18"/>
          <w:lang w:eastAsia="en-GB"/>
          <w14:ligatures w14:val="none"/>
        </w:rPr>
        <w:t>The Act significantly expanded the Housing Ombudsman’s role in strengthening tenant protections and improving housing standards. Key changes include enhanced investigatory powers, mandatory participation in the complaints resolution process, and more robust expectations regarding the timely handling of tenant concerns. Collectively, these measures are intended to ensure that housing providers deliver safe, habitable, and equitable living conditions for all residents.</w:t>
      </w:r>
    </w:p>
    <w:p w:rsidR="009E79E9" w:rsidRPr="009E79E9" w:rsidRDefault="009E79E9" w:rsidP="009E79E9">
      <w:pPr>
        <w:spacing w:before="100" w:beforeAutospacing="1" w:after="100" w:afterAutospacing="1" w:line="240" w:lineRule="auto"/>
        <w:rPr>
          <w:rFonts w:eastAsia="Times New Roman" w:cstheme="minorHAnsi"/>
          <w:kern w:val="0"/>
          <w:szCs w:val="18"/>
          <w:lang w:eastAsia="en-GB"/>
          <w14:ligatures w14:val="none"/>
        </w:rPr>
      </w:pPr>
      <w:r w:rsidRPr="009E79E9">
        <w:rPr>
          <w:rFonts w:eastAsia="Times New Roman" w:cstheme="minorHAnsi"/>
          <w:kern w:val="0"/>
          <w:szCs w:val="18"/>
          <w:lang w:eastAsia="en-GB"/>
          <w14:ligatures w14:val="none"/>
        </w:rPr>
        <w:t>During 2025–26, Strides continued to implement actions arising from its first annual report produced under the Housing Ombudsman’s Complaint Handling Code. In the third quarter of the year, a decision was taken to wind down the charity’s operations. This period coincided with significant organisational change, including the departure of the Chief Executive Officer, Executive Assistant, Head of Housing, and Residential Manager between October and December 2025, followed by the appointment of a new leadership team from December onwards.</w:t>
      </w:r>
    </w:p>
    <w:p w:rsidR="009E79E9" w:rsidRPr="009E79E9" w:rsidRDefault="009E79E9" w:rsidP="009E79E9">
      <w:pPr>
        <w:spacing w:before="100" w:beforeAutospacing="1" w:after="100" w:afterAutospacing="1" w:line="240" w:lineRule="auto"/>
        <w:rPr>
          <w:rFonts w:eastAsia="Times New Roman" w:cstheme="minorHAnsi"/>
          <w:kern w:val="0"/>
          <w:szCs w:val="18"/>
          <w:lang w:eastAsia="en-GB"/>
          <w14:ligatures w14:val="none"/>
        </w:rPr>
      </w:pPr>
      <w:r w:rsidRPr="009E79E9">
        <w:rPr>
          <w:rFonts w:eastAsia="Times New Roman" w:cstheme="minorHAnsi"/>
          <w:kern w:val="0"/>
          <w:szCs w:val="18"/>
          <w:lang w:eastAsia="en-GB"/>
          <w14:ligatures w14:val="none"/>
        </w:rPr>
        <w:t xml:space="preserve">As a result of the limited handover period, some historical information required for this report was unavailable. Every effort has been made to ensure that the report is as complete and accurate as possible based on the records and evidence available. Where information gaps exist, these have been clearly identified within the narrative. Overall, the evidence indicates that the complaints policy introduced in 2024, aligned with the Housing Ombudsman’s Complaint Handling Code, was implemented effectively </w:t>
      </w:r>
      <w:r>
        <w:rPr>
          <w:rFonts w:eastAsia="Times New Roman" w:cstheme="minorHAnsi"/>
          <w:kern w:val="0"/>
          <w:szCs w:val="18"/>
          <w:lang w:eastAsia="en-GB"/>
          <w14:ligatures w14:val="none"/>
        </w:rPr>
        <w:t xml:space="preserve">and delivered positive outcomes, leading to a better service to residents. </w:t>
      </w:r>
    </w:p>
    <w:p w:rsidR="00ED14BE" w:rsidRDefault="009E79E9" w:rsidP="00F10A2C">
      <w:pPr>
        <w:spacing w:before="100" w:beforeAutospacing="1" w:after="100" w:afterAutospacing="1" w:line="240" w:lineRule="auto"/>
        <w:rPr>
          <w:rFonts w:eastAsia="Times New Roman" w:cstheme="minorHAnsi"/>
          <w:kern w:val="0"/>
          <w:szCs w:val="18"/>
          <w:lang w:eastAsia="en-GB"/>
          <w14:ligatures w14:val="none"/>
        </w:rPr>
      </w:pPr>
      <w:r w:rsidRPr="009E79E9">
        <w:rPr>
          <w:rFonts w:eastAsia="Times New Roman" w:cstheme="minorHAnsi"/>
          <w:kern w:val="0"/>
          <w:szCs w:val="18"/>
          <w:lang w:eastAsia="en-GB"/>
          <w14:ligatures w14:val="none"/>
        </w:rPr>
        <w:t>Although the organisation is progressing towards closure, Strides remains committed to upholding the rights and experiences of its tenants. The organisation continues to operate its complaints procedure in accordance with the Code and will do so for the remainder of its responsibilities as a landlord.</w:t>
      </w:r>
    </w:p>
    <w:p w:rsidR="009C7469" w:rsidRPr="00F10A2C" w:rsidRDefault="009C7469" w:rsidP="00F10A2C">
      <w:pPr>
        <w:spacing w:before="100" w:beforeAutospacing="1" w:after="100" w:afterAutospacing="1" w:line="240" w:lineRule="auto"/>
        <w:rPr>
          <w:rFonts w:eastAsia="Times New Roman" w:cstheme="minorHAnsi"/>
          <w:kern w:val="0"/>
          <w:szCs w:val="18"/>
          <w:lang w:eastAsia="en-GB"/>
          <w14:ligatures w14:val="none"/>
        </w:rPr>
      </w:pPr>
      <w:r>
        <w:rPr>
          <w:rFonts w:eastAsia="Times New Roman" w:cstheme="minorHAnsi"/>
          <w:kern w:val="0"/>
          <w:szCs w:val="18"/>
          <w:lang w:eastAsia="en-GB"/>
          <w14:ligatures w14:val="none"/>
        </w:rPr>
        <w:t>Please note that the financial year Strides operates under (1</w:t>
      </w:r>
      <w:r w:rsidRPr="009C7469">
        <w:rPr>
          <w:rFonts w:eastAsia="Times New Roman" w:cstheme="minorHAnsi"/>
          <w:kern w:val="0"/>
          <w:szCs w:val="18"/>
          <w:vertAlign w:val="superscript"/>
          <w:lang w:eastAsia="en-GB"/>
          <w14:ligatures w14:val="none"/>
        </w:rPr>
        <w:t>st</w:t>
      </w:r>
      <w:r>
        <w:rPr>
          <w:rFonts w:eastAsia="Times New Roman" w:cstheme="minorHAnsi"/>
          <w:kern w:val="0"/>
          <w:szCs w:val="18"/>
          <w:lang w:eastAsia="en-GB"/>
          <w14:ligatures w14:val="none"/>
        </w:rPr>
        <w:t xml:space="preserve"> of September to 31</w:t>
      </w:r>
      <w:r w:rsidRPr="009C7469">
        <w:rPr>
          <w:rFonts w:eastAsia="Times New Roman" w:cstheme="minorHAnsi"/>
          <w:kern w:val="0"/>
          <w:szCs w:val="18"/>
          <w:vertAlign w:val="superscript"/>
          <w:lang w:eastAsia="en-GB"/>
          <w14:ligatures w14:val="none"/>
        </w:rPr>
        <w:t>st</w:t>
      </w:r>
      <w:r>
        <w:rPr>
          <w:rFonts w:eastAsia="Times New Roman" w:cstheme="minorHAnsi"/>
          <w:kern w:val="0"/>
          <w:szCs w:val="18"/>
          <w:lang w:eastAsia="en-GB"/>
          <w14:ligatures w14:val="none"/>
        </w:rPr>
        <w:t xml:space="preserve"> August) overlaps with the first report so three complaints in this report have already been reported in the 2024 submission, namely complaints CN-0004, CN-0005 and CN-0006,</w:t>
      </w:r>
    </w:p>
    <w:p w:rsidR="00DE01B2" w:rsidRDefault="00F905A0" w:rsidP="00DE01B2">
      <w:pPr>
        <w:pStyle w:val="Heading1"/>
        <w:rPr>
          <w:rFonts w:eastAsiaTheme="minorHAnsi"/>
        </w:rPr>
      </w:pPr>
      <w:r>
        <w:rPr>
          <w:rFonts w:eastAsiaTheme="minorHAnsi"/>
        </w:rPr>
        <w:t xml:space="preserve"> </w:t>
      </w:r>
      <w:r w:rsidR="00F75254">
        <w:rPr>
          <w:rFonts w:eastAsiaTheme="minorHAnsi"/>
        </w:rPr>
        <w:t>Number of complaints recieved</w:t>
      </w:r>
    </w:p>
    <w:p w:rsidR="00E83A91" w:rsidRDefault="003533E4" w:rsidP="000D56EE">
      <w:pPr>
        <w:spacing w:line="240" w:lineRule="auto"/>
        <w:rPr>
          <w:rFonts w:eastAsia="Times New Roman"/>
        </w:rPr>
      </w:pPr>
      <w:r>
        <w:rPr>
          <w:rFonts w:eastAsia="Times New Roman"/>
        </w:rPr>
        <w:t xml:space="preserve">Between </w:t>
      </w:r>
      <w:r w:rsidR="00D24B5B">
        <w:rPr>
          <w:rFonts w:eastAsia="Times New Roman"/>
        </w:rPr>
        <w:t>September 1</w:t>
      </w:r>
      <w:r w:rsidR="00D24B5B" w:rsidRPr="00D24B5B">
        <w:rPr>
          <w:rFonts w:eastAsia="Times New Roman"/>
          <w:vertAlign w:val="superscript"/>
        </w:rPr>
        <w:t>st</w:t>
      </w:r>
      <w:r w:rsidR="00D24B5B">
        <w:rPr>
          <w:rFonts w:eastAsia="Times New Roman"/>
        </w:rPr>
        <w:t xml:space="preserve"> 2024 and August 31</w:t>
      </w:r>
      <w:r w:rsidR="00D24B5B" w:rsidRPr="00D24B5B">
        <w:rPr>
          <w:rFonts w:eastAsia="Times New Roman"/>
          <w:vertAlign w:val="superscript"/>
        </w:rPr>
        <w:t>st</w:t>
      </w:r>
      <w:r w:rsidR="00D24B5B">
        <w:rPr>
          <w:rFonts w:eastAsia="Times New Roman"/>
        </w:rPr>
        <w:t xml:space="preserve"> 2025 Strides received 8 </w:t>
      </w:r>
      <w:r w:rsidR="00E83A91">
        <w:rPr>
          <w:rFonts w:eastAsia="Times New Roman"/>
        </w:rPr>
        <w:t>complaints about our services.</w:t>
      </w:r>
      <w:r w:rsidR="0067405F">
        <w:rPr>
          <w:rFonts w:eastAsia="Times New Roman"/>
        </w:rPr>
        <w:t xml:space="preserve"> </w:t>
      </w:r>
      <w:r w:rsidR="00E83A91">
        <w:rPr>
          <w:rFonts w:eastAsia="Times New Roman"/>
        </w:rPr>
        <w:t>We have summarised these here</w:t>
      </w:r>
      <w:r w:rsidR="00AC44E1">
        <w:rPr>
          <w:rFonts w:eastAsia="Times New Roman"/>
        </w:rPr>
        <w:t>:</w:t>
      </w:r>
    </w:p>
    <w:p w:rsidR="000D56EE" w:rsidRDefault="000D56EE" w:rsidP="00AC44E1">
      <w:pPr>
        <w:pStyle w:val="Heading2"/>
        <w:rPr>
          <w:rFonts w:eastAsia="Times New Roman"/>
        </w:rPr>
      </w:pPr>
      <w:r>
        <w:rPr>
          <w:rFonts w:eastAsia="Times New Roman"/>
        </w:rPr>
        <w:t>Staff Misconduct</w:t>
      </w:r>
      <w:r w:rsidR="00A324C2">
        <w:rPr>
          <w:rFonts w:eastAsia="Times New Roman"/>
        </w:rPr>
        <w:t xml:space="preserve"> – 2</w:t>
      </w:r>
      <w:r w:rsidR="00D42E28">
        <w:rPr>
          <w:rFonts w:eastAsia="Times New Roman"/>
        </w:rPr>
        <w:t xml:space="preserve"> complaint</w:t>
      </w:r>
      <w:r w:rsidR="00A324C2">
        <w:rPr>
          <w:rFonts w:eastAsia="Times New Roman"/>
        </w:rPr>
        <w:t>S</w:t>
      </w:r>
      <w:r w:rsidR="00D42E28">
        <w:rPr>
          <w:rFonts w:eastAsia="Times New Roman"/>
        </w:rPr>
        <w:t>:</w:t>
      </w:r>
    </w:p>
    <w:p w:rsidR="000D56EE" w:rsidRPr="0067405F" w:rsidRDefault="00ED14BE" w:rsidP="00ED14BE">
      <w:pPr>
        <w:pStyle w:val="ListBullet2"/>
      </w:pPr>
      <w:r>
        <w:rPr>
          <w:b/>
          <w:bCs/>
        </w:rPr>
        <w:t>Complaint definition</w:t>
      </w:r>
      <w:r w:rsidR="000D56EE" w:rsidRPr="0067405F">
        <w:t xml:space="preserve">: </w:t>
      </w:r>
      <w:r w:rsidR="001051C5">
        <w:t>Staff tone of voice when speaking to a resident cau</w:t>
      </w:r>
      <w:r w:rsidR="00D24B5B">
        <w:t>sing offense (CN-12</w:t>
      </w:r>
      <w:r w:rsidR="001051C5">
        <w:t>)</w:t>
      </w:r>
    </w:p>
    <w:p w:rsidR="000D56EE" w:rsidRPr="0067405F" w:rsidRDefault="000D56EE" w:rsidP="00ED14BE">
      <w:pPr>
        <w:pStyle w:val="ListBullet2"/>
      </w:pPr>
      <w:r w:rsidRPr="0067405F">
        <w:rPr>
          <w:b/>
          <w:bCs/>
        </w:rPr>
        <w:t>Resolution</w:t>
      </w:r>
      <w:r w:rsidRPr="0067405F">
        <w:t xml:space="preserve">: </w:t>
      </w:r>
      <w:r w:rsidR="001051C5">
        <w:t>Staff was spoken to by service manager, accepted guidance on better ways to communicate and reflected on potential impact of tone on residents. Resident updated.</w:t>
      </w:r>
    </w:p>
    <w:p w:rsidR="000D56EE" w:rsidRDefault="00E54C1B" w:rsidP="00ED14BE">
      <w:pPr>
        <w:pStyle w:val="ListBullet2"/>
      </w:pPr>
      <w:r>
        <w:rPr>
          <w:b/>
          <w:bCs/>
        </w:rPr>
        <w:t>Learning</w:t>
      </w:r>
      <w:r w:rsidR="00ED14BE">
        <w:rPr>
          <w:b/>
          <w:bCs/>
        </w:rPr>
        <w:t>:</w:t>
      </w:r>
      <w:r w:rsidR="000D56EE" w:rsidRPr="0067405F">
        <w:t xml:space="preserve"> </w:t>
      </w:r>
      <w:r w:rsidR="001051C5">
        <w:t>Highlighted the need for a non-judgemental and trauma-informed culture to be nurtured through supervision and training.</w:t>
      </w:r>
    </w:p>
    <w:p w:rsidR="00A324C2" w:rsidRDefault="00A324C2" w:rsidP="00A324C2">
      <w:pPr>
        <w:pStyle w:val="ListBullet2"/>
        <w:numPr>
          <w:ilvl w:val="1"/>
          <w:numId w:val="36"/>
        </w:numPr>
      </w:pPr>
      <w:r>
        <w:rPr>
          <w:b/>
          <w:bCs/>
        </w:rPr>
        <w:t xml:space="preserve">Complaint definition: </w:t>
      </w:r>
      <w:r>
        <w:t xml:space="preserve">Alleged rude behaviours of a team member towards a prospective </w:t>
      </w:r>
      <w:proofErr w:type="spellStart"/>
      <w:r>
        <w:t>reisdnet</w:t>
      </w:r>
      <w:proofErr w:type="spellEnd"/>
      <w:r>
        <w:t xml:space="preserve"> during a service assessment (CN-0005).</w:t>
      </w:r>
    </w:p>
    <w:p w:rsidR="00A324C2" w:rsidRDefault="00A324C2" w:rsidP="00A324C2">
      <w:pPr>
        <w:pStyle w:val="ListBullet2"/>
        <w:numPr>
          <w:ilvl w:val="1"/>
          <w:numId w:val="36"/>
        </w:numPr>
      </w:pPr>
      <w:r>
        <w:rPr>
          <w:b/>
          <w:bCs/>
        </w:rPr>
        <w:t>Resolution:</w:t>
      </w:r>
      <w:r>
        <w:t xml:space="preserve"> Acknowledgement of the complaint and a chance to talk through the issue. It seems there was </w:t>
      </w:r>
      <w:proofErr w:type="gramStart"/>
      <w:r>
        <w:t>a disconnect</w:t>
      </w:r>
      <w:proofErr w:type="gramEnd"/>
      <w:r>
        <w:t xml:space="preserve"> between expectations and the service that is offered. </w:t>
      </w:r>
    </w:p>
    <w:p w:rsidR="00A324C2" w:rsidRDefault="00A324C2" w:rsidP="00A324C2">
      <w:pPr>
        <w:pStyle w:val="ListBullet2"/>
        <w:numPr>
          <w:ilvl w:val="1"/>
          <w:numId w:val="36"/>
        </w:numPr>
      </w:pPr>
      <w:r>
        <w:rPr>
          <w:b/>
          <w:bCs/>
        </w:rPr>
        <w:t>Learning</w:t>
      </w:r>
      <w:r>
        <w:t xml:space="preserve">: The service specification was reviewed in order to check how clear the information is. </w:t>
      </w:r>
    </w:p>
    <w:p w:rsidR="00A324C2" w:rsidRPr="0067405F" w:rsidRDefault="00A324C2" w:rsidP="00A324C2">
      <w:pPr>
        <w:pStyle w:val="ListBullet2"/>
        <w:numPr>
          <w:ilvl w:val="0"/>
          <w:numId w:val="0"/>
        </w:numPr>
        <w:ind w:left="720" w:hanging="360"/>
      </w:pPr>
    </w:p>
    <w:p w:rsidR="000D56EE" w:rsidRDefault="000D56EE" w:rsidP="0067405F">
      <w:pPr>
        <w:pStyle w:val="Heading2"/>
        <w:rPr>
          <w:rFonts w:eastAsia="Times New Roman"/>
        </w:rPr>
      </w:pPr>
      <w:r>
        <w:rPr>
          <w:rFonts w:eastAsia="Times New Roman"/>
        </w:rPr>
        <w:t>Maintenance and Accommodation Issues</w:t>
      </w:r>
      <w:r w:rsidR="00A324C2">
        <w:rPr>
          <w:rFonts w:eastAsia="Times New Roman"/>
        </w:rPr>
        <w:t xml:space="preserve"> – 2</w:t>
      </w:r>
      <w:r w:rsidR="00D42E28">
        <w:rPr>
          <w:rFonts w:eastAsia="Times New Roman"/>
        </w:rPr>
        <w:t xml:space="preserve"> complaints:</w:t>
      </w:r>
    </w:p>
    <w:p w:rsidR="0010173F" w:rsidRPr="001051C5" w:rsidRDefault="00ED14BE" w:rsidP="001051C5">
      <w:pPr>
        <w:pStyle w:val="ListBullet2"/>
        <w:spacing w:line="240" w:lineRule="auto"/>
        <w:rPr>
          <w:rFonts w:eastAsia="Times New Roman"/>
        </w:rPr>
      </w:pPr>
      <w:r w:rsidRPr="001051C5">
        <w:rPr>
          <w:b/>
        </w:rPr>
        <w:t>Complaint</w:t>
      </w:r>
      <w:r w:rsidR="007C3275" w:rsidRPr="001051C5">
        <w:rPr>
          <w:b/>
        </w:rPr>
        <w:t xml:space="preserve"> Definition: </w:t>
      </w:r>
      <w:r w:rsidR="00A324C2">
        <w:rPr>
          <w:rFonts w:eastAsia="Times New Roman"/>
        </w:rPr>
        <w:t>2</w:t>
      </w:r>
      <w:r w:rsidR="001051C5">
        <w:rPr>
          <w:rFonts w:eastAsia="Times New Roman"/>
        </w:rPr>
        <w:t xml:space="preserve"> complaints regarding hot water issues</w:t>
      </w:r>
      <w:r w:rsidR="00A324C2">
        <w:rPr>
          <w:rFonts w:eastAsia="Times New Roman"/>
        </w:rPr>
        <w:t xml:space="preserve"> (CN-0009 and CN-0011)</w:t>
      </w:r>
    </w:p>
    <w:p w:rsidR="0010173F" w:rsidRPr="007C3275" w:rsidRDefault="00AE1BF8" w:rsidP="00ED14BE">
      <w:pPr>
        <w:pStyle w:val="ListBullet2"/>
        <w:rPr>
          <w:b/>
        </w:rPr>
      </w:pPr>
      <w:r>
        <w:rPr>
          <w:b/>
        </w:rPr>
        <w:t>Resolutions</w:t>
      </w:r>
      <w:r w:rsidR="0010173F" w:rsidRPr="007C3275">
        <w:rPr>
          <w:b/>
        </w:rPr>
        <w:t>:</w:t>
      </w:r>
    </w:p>
    <w:p w:rsidR="00E54C1B" w:rsidRDefault="001051C5" w:rsidP="001051C5">
      <w:pPr>
        <w:pStyle w:val="ListBullet3"/>
      </w:pPr>
      <w:r w:rsidRPr="00AE1BF8">
        <w:rPr>
          <w:b/>
        </w:rPr>
        <w:t>Hot water</w:t>
      </w:r>
      <w:r>
        <w:t>- on one occasion the cold water was left switched off in error which was immediately resolved by staff switching it back on. The two other complaints regarding cold water running hot were managed by raising urgent work orders to fix the issue</w:t>
      </w:r>
      <w:r w:rsidR="00AE1BF8">
        <w:t xml:space="preserve">- some temporary fixes were applied and provided temporary relief however the issue has been found to result from a foundational plumbing issue which will require major, likely disruptive works to fully resolved. </w:t>
      </w:r>
    </w:p>
    <w:p w:rsidR="0096238D" w:rsidRDefault="0096238D" w:rsidP="0096238D">
      <w:pPr>
        <w:pStyle w:val="ListBullet3"/>
      </w:pPr>
      <w:r>
        <w:rPr>
          <w:b/>
        </w:rPr>
        <w:t>Learning and Action</w:t>
      </w:r>
      <w:r w:rsidRPr="00AE1BF8">
        <w:t>:</w:t>
      </w:r>
      <w:r>
        <w:t xml:space="preserve"> A new estates manager has been hired in 2026 in part to oversee this project and support in the management of the issue.</w:t>
      </w:r>
    </w:p>
    <w:p w:rsidR="00AE1BF8" w:rsidRDefault="00AE1BF8" w:rsidP="00A324C2">
      <w:pPr>
        <w:pStyle w:val="ListBullet3"/>
        <w:numPr>
          <w:ilvl w:val="0"/>
          <w:numId w:val="0"/>
        </w:numPr>
        <w:ind w:left="1080" w:hanging="360"/>
      </w:pPr>
    </w:p>
    <w:p w:rsidR="00E54C1B" w:rsidRPr="00ED14BE" w:rsidRDefault="00E54C1B" w:rsidP="00E54C1B">
      <w:pPr>
        <w:pStyle w:val="ListBullet3"/>
        <w:numPr>
          <w:ilvl w:val="0"/>
          <w:numId w:val="0"/>
        </w:numPr>
        <w:ind w:left="709"/>
      </w:pPr>
    </w:p>
    <w:p w:rsidR="000D56EE" w:rsidRDefault="000D56EE" w:rsidP="005938B6">
      <w:pPr>
        <w:pStyle w:val="Heading2"/>
        <w:rPr>
          <w:rFonts w:eastAsia="Times New Roman"/>
        </w:rPr>
      </w:pPr>
      <w:r>
        <w:rPr>
          <w:rFonts w:eastAsia="Times New Roman"/>
        </w:rPr>
        <w:t xml:space="preserve">Community and </w:t>
      </w:r>
      <w:r w:rsidR="00FD4019">
        <w:rPr>
          <w:rFonts w:eastAsia="Times New Roman"/>
        </w:rPr>
        <w:t>neighbour</w:t>
      </w:r>
      <w:r>
        <w:rPr>
          <w:rFonts w:eastAsia="Times New Roman"/>
        </w:rPr>
        <w:t xml:space="preserve"> Concerns</w:t>
      </w:r>
      <w:r w:rsidR="00563375">
        <w:rPr>
          <w:rFonts w:eastAsia="Times New Roman"/>
        </w:rPr>
        <w:t xml:space="preserve"> – 2</w:t>
      </w:r>
      <w:r w:rsidR="00FD4019">
        <w:rPr>
          <w:rFonts w:eastAsia="Times New Roman"/>
        </w:rPr>
        <w:t xml:space="preserve"> complaint</w:t>
      </w:r>
      <w:r w:rsidR="00563375">
        <w:rPr>
          <w:rFonts w:eastAsia="Times New Roman"/>
        </w:rPr>
        <w:t>S</w:t>
      </w:r>
      <w:r w:rsidR="00F06B99">
        <w:rPr>
          <w:rFonts w:eastAsia="Times New Roman"/>
        </w:rPr>
        <w:t>:</w:t>
      </w:r>
    </w:p>
    <w:p w:rsidR="00A324C2" w:rsidRDefault="00A324C2" w:rsidP="00A324C2">
      <w:pPr>
        <w:pStyle w:val="ListBullet2"/>
        <w:numPr>
          <w:ilvl w:val="1"/>
          <w:numId w:val="36"/>
        </w:numPr>
      </w:pPr>
      <w:r>
        <w:rPr>
          <w:b/>
          <w:bCs/>
        </w:rPr>
        <w:t xml:space="preserve">Complaint definition: </w:t>
      </w:r>
      <w:r>
        <w:t>Odour complaints from bins near a bus stop (CN-0006).</w:t>
      </w:r>
    </w:p>
    <w:p w:rsidR="00A324C2" w:rsidRDefault="00A324C2" w:rsidP="00A324C2">
      <w:pPr>
        <w:pStyle w:val="ListBullet2"/>
        <w:numPr>
          <w:ilvl w:val="1"/>
          <w:numId w:val="36"/>
        </w:numPr>
      </w:pPr>
      <w:r>
        <w:rPr>
          <w:b/>
          <w:bCs/>
        </w:rPr>
        <w:t xml:space="preserve">Resolution: </w:t>
      </w:r>
      <w:r>
        <w:t>Immediate cleaning of bins and sewer-related issues were found to be the cause</w:t>
      </w:r>
    </w:p>
    <w:p w:rsidR="00A324C2" w:rsidRDefault="00A324C2" w:rsidP="00A324C2">
      <w:pPr>
        <w:pStyle w:val="ListBullet2"/>
        <w:numPr>
          <w:ilvl w:val="1"/>
          <w:numId w:val="36"/>
        </w:numPr>
      </w:pPr>
      <w:r>
        <w:rPr>
          <w:b/>
          <w:bCs/>
        </w:rPr>
        <w:t xml:space="preserve">Learning: </w:t>
      </w:r>
      <w:r>
        <w:rPr>
          <w:bCs/>
        </w:rPr>
        <w:t>Proactive community engagement may help prevent such complaints, and regular checks of the outside areas are now being conducted.</w:t>
      </w:r>
    </w:p>
    <w:p w:rsidR="000D56EE" w:rsidRPr="00563375" w:rsidRDefault="000D56EE" w:rsidP="00A324C2">
      <w:pPr>
        <w:pStyle w:val="ListBullet2"/>
        <w:numPr>
          <w:ilvl w:val="0"/>
          <w:numId w:val="0"/>
        </w:numPr>
        <w:ind w:left="720"/>
      </w:pPr>
    </w:p>
    <w:p w:rsidR="00563375" w:rsidRDefault="00563375" w:rsidP="00563375">
      <w:pPr>
        <w:pStyle w:val="ListBullet2"/>
        <w:numPr>
          <w:ilvl w:val="0"/>
          <w:numId w:val="0"/>
        </w:numPr>
        <w:ind w:left="360"/>
      </w:pPr>
      <w:r>
        <w:rPr>
          <w:b/>
        </w:rPr>
        <w:t xml:space="preserve">Complaint 2 definition: </w:t>
      </w:r>
      <w:r w:rsidR="00510113">
        <w:t xml:space="preserve">appears to have been a complaint from a neighbour about post going to the incorrect address, however the full information was not recorded on Inform so details could not be verified. </w:t>
      </w:r>
    </w:p>
    <w:p w:rsidR="000D56EE" w:rsidRDefault="000D56EE" w:rsidP="00F06B99">
      <w:pPr>
        <w:pStyle w:val="Heading2"/>
        <w:rPr>
          <w:rFonts w:eastAsia="Times New Roman"/>
        </w:rPr>
      </w:pPr>
      <w:r>
        <w:rPr>
          <w:rFonts w:eastAsia="Times New Roman"/>
        </w:rPr>
        <w:t>Service Dissatisfaction</w:t>
      </w:r>
      <w:r w:rsidR="00603F65">
        <w:rPr>
          <w:rFonts w:eastAsia="Times New Roman"/>
        </w:rPr>
        <w:t xml:space="preserve"> – </w:t>
      </w:r>
      <w:r w:rsidR="009C7469">
        <w:rPr>
          <w:rFonts w:eastAsia="Times New Roman"/>
        </w:rPr>
        <w:t>2 complaintS</w:t>
      </w:r>
      <w:r>
        <w:rPr>
          <w:rFonts w:eastAsia="Times New Roman"/>
        </w:rPr>
        <w:t>:</w:t>
      </w:r>
    </w:p>
    <w:p w:rsidR="00603F65" w:rsidRDefault="009C7469" w:rsidP="009C7469">
      <w:pPr>
        <w:pStyle w:val="ListBullet2"/>
        <w:numPr>
          <w:ilvl w:val="0"/>
          <w:numId w:val="38"/>
        </w:numPr>
      </w:pPr>
      <w:r>
        <w:rPr>
          <w:b/>
          <w:bCs/>
        </w:rPr>
        <w:t>Complaint</w:t>
      </w:r>
      <w:r w:rsidR="00603F65">
        <w:rPr>
          <w:b/>
          <w:bCs/>
        </w:rPr>
        <w:t xml:space="preserve"> Definition</w:t>
      </w:r>
      <w:r w:rsidR="00603F65" w:rsidRPr="00603F65">
        <w:t>:</w:t>
      </w:r>
      <w:r w:rsidR="00603F65">
        <w:t xml:space="preserve"> Resident complained of communal kitchen </w:t>
      </w:r>
      <w:r>
        <w:t>utensils not being clean enough (CN-0008)</w:t>
      </w:r>
    </w:p>
    <w:p w:rsidR="00603F65" w:rsidRDefault="00603F65" w:rsidP="00ED14BE">
      <w:pPr>
        <w:pStyle w:val="ListBullet2"/>
      </w:pPr>
      <w:r>
        <w:rPr>
          <w:b/>
          <w:bCs/>
        </w:rPr>
        <w:t>Resolution</w:t>
      </w:r>
      <w:r w:rsidRPr="00603F65">
        <w:t>:</w:t>
      </w:r>
      <w:r>
        <w:t xml:space="preserve"> </w:t>
      </w:r>
      <w:r w:rsidR="002F4D0C">
        <w:t>the issue was raised at the next house meeting</w:t>
      </w:r>
    </w:p>
    <w:p w:rsidR="002F4D0C" w:rsidRDefault="002F4D0C" w:rsidP="00ED14BE">
      <w:pPr>
        <w:pStyle w:val="ListBullet2"/>
      </w:pPr>
      <w:r>
        <w:rPr>
          <w:b/>
          <w:bCs/>
        </w:rPr>
        <w:t>Learning</w:t>
      </w:r>
      <w:r w:rsidRPr="002F4D0C">
        <w:t>:</w:t>
      </w:r>
      <w:r>
        <w:t xml:space="preserve"> There was no fault by the service found in investigation in this case</w:t>
      </w:r>
    </w:p>
    <w:p w:rsidR="009C7469" w:rsidRDefault="009C7469" w:rsidP="009C7469">
      <w:pPr>
        <w:pStyle w:val="ListBullet2"/>
        <w:numPr>
          <w:ilvl w:val="0"/>
          <w:numId w:val="0"/>
        </w:numPr>
        <w:ind w:left="720"/>
        <w:rPr>
          <w:rFonts w:eastAsia="Times New Roman"/>
        </w:rPr>
      </w:pPr>
      <w:r>
        <w:rPr>
          <w:b/>
        </w:rPr>
        <w:t xml:space="preserve">Complaint 2 Definition: </w:t>
      </w:r>
      <w:r>
        <w:rPr>
          <w:rFonts w:eastAsia="Times New Roman"/>
        </w:rPr>
        <w:t xml:space="preserve">Delayed replacement of a broken washing machine also at </w:t>
      </w:r>
      <w:proofErr w:type="spellStart"/>
      <w:r>
        <w:rPr>
          <w:rFonts w:eastAsia="Times New Roman"/>
        </w:rPr>
        <w:t>Wincott</w:t>
      </w:r>
      <w:proofErr w:type="spellEnd"/>
      <w:r>
        <w:rPr>
          <w:rFonts w:eastAsia="Times New Roman"/>
        </w:rPr>
        <w:t xml:space="preserve"> Street Residential.  As this washing machine was out of action only 1 washing machine was available instead of 2. (CN-0004).</w:t>
      </w:r>
    </w:p>
    <w:p w:rsidR="009C7469" w:rsidRDefault="009C7469" w:rsidP="009C7469">
      <w:pPr>
        <w:pStyle w:val="ListBullet2"/>
      </w:pPr>
      <w:r>
        <w:rPr>
          <w:b/>
          <w:kern w:val="0"/>
          <w14:ligatures w14:val="none"/>
        </w:rPr>
        <w:t xml:space="preserve">Resolution 2: </w:t>
      </w:r>
      <w:r>
        <w:rPr>
          <w:kern w:val="0"/>
          <w14:ligatures w14:val="none"/>
        </w:rPr>
        <w:t>The washing Machine was replaced by the time the complaint made it to the Service Manager; but the delay is noted</w:t>
      </w:r>
    </w:p>
    <w:p w:rsidR="00832BCE" w:rsidRDefault="00F905A0" w:rsidP="00832BCE">
      <w:pPr>
        <w:pStyle w:val="Heading1"/>
        <w:rPr>
          <w:rFonts w:eastAsia="Times New Roman"/>
        </w:rPr>
      </w:pPr>
      <w:r>
        <w:rPr>
          <w:rFonts w:eastAsia="Times New Roman"/>
        </w:rPr>
        <w:t xml:space="preserve"> </w:t>
      </w:r>
      <w:r w:rsidR="00832BCE">
        <w:rPr>
          <w:rFonts w:eastAsia="Times New Roman"/>
        </w:rPr>
        <w:t>Complaint Categories</w:t>
      </w:r>
    </w:p>
    <w:p w:rsidR="00832BCE" w:rsidRPr="00832BCE" w:rsidRDefault="00A257C5" w:rsidP="00ED14BE">
      <w:pPr>
        <w:pStyle w:val="ListBullet2"/>
      </w:pPr>
      <w:r>
        <w:t>Staff Misconduct: 25</w:t>
      </w:r>
      <w:r w:rsidR="00832BCE" w:rsidRPr="00832BCE">
        <w:t>%</w:t>
      </w:r>
    </w:p>
    <w:p w:rsidR="00832BCE" w:rsidRPr="00832BCE" w:rsidRDefault="00832BCE" w:rsidP="00ED14BE">
      <w:pPr>
        <w:pStyle w:val="ListBullet2"/>
      </w:pPr>
      <w:r w:rsidRPr="00832BCE">
        <w:t xml:space="preserve">Maintenance and Accommodation: </w:t>
      </w:r>
      <w:r w:rsidR="00A257C5">
        <w:t>25</w:t>
      </w:r>
      <w:r w:rsidRPr="00832BCE">
        <w:t>%</w:t>
      </w:r>
    </w:p>
    <w:p w:rsidR="00832BCE" w:rsidRPr="00832BCE" w:rsidRDefault="00A257C5" w:rsidP="00ED14BE">
      <w:pPr>
        <w:pStyle w:val="ListBullet2"/>
      </w:pPr>
      <w:r>
        <w:t>Community Concerns: 25</w:t>
      </w:r>
      <w:r w:rsidR="00832BCE" w:rsidRPr="00832BCE">
        <w:t>%</w:t>
      </w:r>
    </w:p>
    <w:p w:rsidR="00832BCE" w:rsidRPr="00832BCE" w:rsidRDefault="00832BCE" w:rsidP="00ED14BE">
      <w:pPr>
        <w:pStyle w:val="ListBullet2"/>
      </w:pPr>
      <w:r w:rsidRPr="00832BCE">
        <w:t>Se</w:t>
      </w:r>
      <w:r w:rsidR="007D731A">
        <w:t>r</w:t>
      </w:r>
      <w:r w:rsidRPr="00832BCE">
        <w:t>vice Dissatisfaction: 2</w:t>
      </w:r>
      <w:r w:rsidR="00A257C5">
        <w:t>5</w:t>
      </w:r>
      <w:r w:rsidRPr="00832BCE">
        <w:t>%</w:t>
      </w:r>
    </w:p>
    <w:p w:rsidR="007D731A" w:rsidRDefault="007D731A" w:rsidP="007D731A">
      <w:pPr>
        <w:pStyle w:val="Heading1"/>
        <w:rPr>
          <w:rFonts w:eastAsia="Times New Roman"/>
        </w:rPr>
      </w:pPr>
      <w:r>
        <w:rPr>
          <w:rFonts w:eastAsia="Times New Roman"/>
        </w:rPr>
        <w:t>Resolution Timelines</w:t>
      </w:r>
    </w:p>
    <w:p w:rsidR="007D731A" w:rsidRPr="00E312BE" w:rsidRDefault="007C5C13" w:rsidP="007D731A">
      <w:pPr>
        <w:pStyle w:val="ListBullet2"/>
      </w:pPr>
      <w:r w:rsidRPr="00E312BE">
        <w:t>Resolved at Stage 1</w:t>
      </w:r>
      <w:r w:rsidR="00192E32">
        <w:t>: 100</w:t>
      </w:r>
      <w:r w:rsidR="007D731A" w:rsidRPr="00E312BE">
        <w:t>%</w:t>
      </w:r>
    </w:p>
    <w:p w:rsidR="007D731A" w:rsidRPr="00E312BE" w:rsidRDefault="007C5C13" w:rsidP="007D731A">
      <w:pPr>
        <w:pStyle w:val="ListBullet2"/>
      </w:pPr>
      <w:r w:rsidRPr="00E312BE">
        <w:t xml:space="preserve">Escalated to Stage 2: </w:t>
      </w:r>
      <w:r w:rsidR="007D731A" w:rsidRPr="00E312BE">
        <w:t>0%</w:t>
      </w:r>
    </w:p>
    <w:p w:rsidR="007D731A" w:rsidRDefault="007D731A" w:rsidP="007D731A">
      <w:pPr>
        <w:pStyle w:val="Heading1"/>
        <w:rPr>
          <w:rFonts w:eastAsiaTheme="minorHAnsi"/>
        </w:rPr>
      </w:pPr>
      <w:r>
        <w:t>outcomes and learning</w:t>
      </w:r>
      <w:r w:rsidR="00A24A35">
        <w:t xml:space="preserve"> (Service Improvement)</w:t>
      </w:r>
    </w:p>
    <w:p w:rsidR="007C5C13" w:rsidRPr="00ED6D59" w:rsidRDefault="007D731A" w:rsidP="00ED6D59">
      <w:pPr>
        <w:pStyle w:val="Heading2"/>
        <w:rPr>
          <w:rFonts w:eastAsia="Times New Roman"/>
        </w:rPr>
      </w:pPr>
      <w:r>
        <w:rPr>
          <w:rFonts w:eastAsia="Times New Roman"/>
        </w:rPr>
        <w:t>Training and Policies:</w:t>
      </w:r>
    </w:p>
    <w:p w:rsidR="007D731A" w:rsidRPr="00E312BE" w:rsidRDefault="004D1D6C" w:rsidP="007D731A">
      <w:pPr>
        <w:pStyle w:val="ListBullet2"/>
      </w:pPr>
      <w:r w:rsidRPr="00E312BE">
        <w:t>W</w:t>
      </w:r>
      <w:r w:rsidR="00B44218" w:rsidRPr="00E312BE">
        <w:t>e have engaged two</w:t>
      </w:r>
      <w:r w:rsidRPr="00E312BE">
        <w:t xml:space="preserve"> HR Consultant</w:t>
      </w:r>
      <w:r w:rsidR="00B44218" w:rsidRPr="00E312BE">
        <w:t>s</w:t>
      </w:r>
      <w:r w:rsidRPr="00E312BE">
        <w:t xml:space="preserve"> and worked with </w:t>
      </w:r>
      <w:r w:rsidR="00B44218" w:rsidRPr="00E312BE">
        <w:t>them</w:t>
      </w:r>
      <w:r w:rsidRPr="00E312BE">
        <w:t xml:space="preserve"> to help s</w:t>
      </w:r>
      <w:r w:rsidR="007D731A" w:rsidRPr="00E312BE">
        <w:t xml:space="preserve">trengthen </w:t>
      </w:r>
      <w:r w:rsidRPr="00E312BE">
        <w:t xml:space="preserve">our </w:t>
      </w:r>
      <w:r w:rsidR="007D731A" w:rsidRPr="00E312BE">
        <w:t>recruitment processes</w:t>
      </w:r>
      <w:r w:rsidR="00B44218" w:rsidRPr="00E312BE">
        <w:t>, revamped recruitment packs and interview questions</w:t>
      </w:r>
      <w:r w:rsidRPr="00E312BE">
        <w:t xml:space="preserve">, which resulted in </w:t>
      </w:r>
      <w:r w:rsidR="007D731A" w:rsidRPr="00E312BE">
        <w:t xml:space="preserve">qualified </w:t>
      </w:r>
      <w:r w:rsidR="003369CC" w:rsidRPr="00E312BE">
        <w:t xml:space="preserve">and capable </w:t>
      </w:r>
      <w:r w:rsidR="007D731A" w:rsidRPr="00E312BE">
        <w:t xml:space="preserve">candidates </w:t>
      </w:r>
      <w:r w:rsidR="003369CC" w:rsidRPr="00E312BE">
        <w:t xml:space="preserve">being </w:t>
      </w:r>
      <w:r w:rsidR="007D731A" w:rsidRPr="00E312BE">
        <w:t>employed</w:t>
      </w:r>
      <w:r w:rsidR="003369CC" w:rsidRPr="00E312BE">
        <w:t xml:space="preserve"> into relevant roles</w:t>
      </w:r>
      <w:r w:rsidR="00B44218" w:rsidRPr="00E312BE">
        <w:t>, and at a later date another HR consultant was brought in to oversee the decommissioning process</w:t>
      </w:r>
      <w:r w:rsidR="007D731A" w:rsidRPr="00E312BE">
        <w:t>.</w:t>
      </w:r>
    </w:p>
    <w:p w:rsidR="007D731A" w:rsidRDefault="007D731A" w:rsidP="00C732E3">
      <w:pPr>
        <w:pStyle w:val="Heading2"/>
        <w:rPr>
          <w:rFonts w:eastAsia="Times New Roman"/>
        </w:rPr>
      </w:pPr>
      <w:r>
        <w:rPr>
          <w:rFonts w:eastAsia="Times New Roman"/>
        </w:rPr>
        <w:t>Proactive Maintenance:</w:t>
      </w:r>
    </w:p>
    <w:p w:rsidR="007D731A" w:rsidRDefault="00EC07D3" w:rsidP="007D731A">
      <w:pPr>
        <w:pStyle w:val="ListBullet2"/>
      </w:pPr>
      <w:r>
        <w:t>We have e</w:t>
      </w:r>
      <w:r w:rsidR="007D731A">
        <w:t>stablish</w:t>
      </w:r>
      <w:r>
        <w:t>ed</w:t>
      </w:r>
      <w:r w:rsidR="007D731A">
        <w:t xml:space="preserve"> a preventive maintenance schedule to address potential issues before they escalate.</w:t>
      </w:r>
      <w:r>
        <w:t xml:space="preserve"> Our ‘handyman’ onsite contractor attends each site on a regular day each week to identify issues and fix smaller works as well as responding to urgent call-outs to each site when necessary. </w:t>
      </w:r>
    </w:p>
    <w:p w:rsidR="007D731A" w:rsidRDefault="007D731A" w:rsidP="00C732E3">
      <w:pPr>
        <w:pStyle w:val="Heading2"/>
        <w:rPr>
          <w:rFonts w:eastAsia="Times New Roman"/>
        </w:rPr>
      </w:pPr>
      <w:r>
        <w:rPr>
          <w:rFonts w:eastAsia="Times New Roman"/>
        </w:rPr>
        <w:t>Communication:</w:t>
      </w:r>
    </w:p>
    <w:p w:rsidR="007D731A" w:rsidRDefault="007C5C13" w:rsidP="007D731A">
      <w:pPr>
        <w:pStyle w:val="ListBullet2"/>
      </w:pPr>
      <w:r>
        <w:t>Our database now has a</w:t>
      </w:r>
      <w:r w:rsidR="007D731A">
        <w:t xml:space="preserve"> transparent and acces</w:t>
      </w:r>
      <w:r>
        <w:t>sible complaint tracking system.</w:t>
      </w:r>
    </w:p>
    <w:p w:rsidR="007D731A" w:rsidRDefault="00EC07D3" w:rsidP="007D731A">
      <w:pPr>
        <w:pStyle w:val="ListBullet2"/>
      </w:pPr>
      <w:r>
        <w:t>We will ensure that all complaint outcome communication is logged and uploaded to inform for completeness of records and for future reference.</w:t>
      </w:r>
    </w:p>
    <w:p w:rsidR="007D731A" w:rsidRPr="000D1751" w:rsidRDefault="007D731A" w:rsidP="000D1751">
      <w:pPr>
        <w:pStyle w:val="Heading2"/>
        <w:rPr>
          <w:rFonts w:eastAsia="Times New Roman"/>
        </w:rPr>
      </w:pPr>
      <w:r>
        <w:rPr>
          <w:rFonts w:eastAsia="Times New Roman"/>
        </w:rPr>
        <w:t>Community Engagement:</w:t>
      </w:r>
    </w:p>
    <w:p w:rsidR="00C732E3" w:rsidRDefault="007D731A" w:rsidP="00C732E3">
      <w:pPr>
        <w:pStyle w:val="ListBullet2"/>
      </w:pPr>
      <w:r>
        <w:t xml:space="preserve">Collaborate with local </w:t>
      </w:r>
      <w:r w:rsidR="00E54C1B">
        <w:t>stakeholders</w:t>
      </w:r>
      <w:r>
        <w:t xml:space="preserve"> to address shared responsibilities, </w:t>
      </w:r>
      <w:r w:rsidR="00E54C1B">
        <w:t>such as antisocial behaviour, public area maintenance or safety.</w:t>
      </w:r>
    </w:p>
    <w:p w:rsidR="00D64949" w:rsidRDefault="00C23D34" w:rsidP="00C23D34">
      <w:pPr>
        <w:pStyle w:val="Heading1"/>
      </w:pPr>
      <w:r>
        <w:t xml:space="preserve">communications </w:t>
      </w:r>
      <w:r w:rsidR="00467A86">
        <w:t>and engagement</w:t>
      </w:r>
    </w:p>
    <w:p w:rsidR="000546D9" w:rsidRDefault="008F006A" w:rsidP="008F006A">
      <w:pPr>
        <w:pStyle w:val="Heading2"/>
      </w:pPr>
      <w:r>
        <w:t xml:space="preserve">what we </w:t>
      </w:r>
      <w:r w:rsidR="000546D9" w:rsidRPr="000546D9">
        <w:t>Currently</w:t>
      </w:r>
      <w:r>
        <w:t xml:space="preserve"> do</w:t>
      </w:r>
    </w:p>
    <w:p w:rsidR="00241C1B" w:rsidRPr="00241C1B" w:rsidRDefault="00241C1B" w:rsidP="00241C1B"/>
    <w:p w:rsidR="0097182B" w:rsidRDefault="00B22A06" w:rsidP="000546D9">
      <w:pPr>
        <w:pStyle w:val="ListBullet2"/>
      </w:pPr>
      <w:r>
        <w:t xml:space="preserve">At Katherine Price Hughes House we hold regular residents meetings, </w:t>
      </w:r>
      <w:r w:rsidR="0061248A">
        <w:t>and send a survey to all residents when they leave asking for feedback on their experienc</w:t>
      </w:r>
      <w:r w:rsidR="000546D9">
        <w:t>e during their stay.</w:t>
      </w:r>
      <w:r w:rsidR="00B44218">
        <w:t xml:space="preserve"> </w:t>
      </w:r>
    </w:p>
    <w:p w:rsidR="00ED6D59" w:rsidRDefault="000546D9" w:rsidP="00ED6D59">
      <w:pPr>
        <w:pStyle w:val="ListBullet2"/>
      </w:pPr>
      <w:r>
        <w:t xml:space="preserve">At Highbury Counselling Centre we </w:t>
      </w:r>
      <w:r w:rsidR="003839B4">
        <w:t>send out a survey as clients exit the service.</w:t>
      </w:r>
    </w:p>
    <w:p w:rsidR="00957B38" w:rsidRDefault="00ED6D59" w:rsidP="00ED6D59">
      <w:pPr>
        <w:pStyle w:val="ListBullet2"/>
      </w:pPr>
      <w:r>
        <w:t xml:space="preserve">Our Residential manager provides a weekly in-person ‘clinic’ at </w:t>
      </w:r>
      <w:proofErr w:type="spellStart"/>
      <w:r>
        <w:t>Wincott</w:t>
      </w:r>
      <w:proofErr w:type="spellEnd"/>
      <w:r>
        <w:t xml:space="preserve"> Street and BPH for residents to come and raise any issues or ask for support around their housing</w:t>
      </w:r>
    </w:p>
    <w:p w:rsidR="00A04956" w:rsidRDefault="00957B38" w:rsidP="00B44218">
      <w:pPr>
        <w:pStyle w:val="ListBullet2"/>
      </w:pPr>
      <w:r>
        <w:t xml:space="preserve">We annually work with residents across all of our services to complete the Tenancy Perception Survey, and at the end of the year publish the results on our website and in a letter to </w:t>
      </w:r>
      <w:r w:rsidR="00A04956">
        <w:t>all residents</w:t>
      </w:r>
      <w:r w:rsidR="00B44218">
        <w:t xml:space="preserve">. This letter </w:t>
      </w:r>
      <w:r w:rsidR="00192E32">
        <w:t>will be</w:t>
      </w:r>
      <w:r w:rsidR="00B44218">
        <w:t xml:space="preserve"> sent out to all residents in </w:t>
      </w:r>
      <w:r w:rsidR="00192E32">
        <w:t>July 2026</w:t>
      </w:r>
      <w:r w:rsidR="00B44218">
        <w:t>.</w:t>
      </w:r>
    </w:p>
    <w:p w:rsidR="00A04956" w:rsidRDefault="00A04956" w:rsidP="000546D9">
      <w:pPr>
        <w:pStyle w:val="ListBullet2"/>
      </w:pPr>
      <w:r>
        <w:t>We have a website page detailing how to raise a complaint.</w:t>
      </w:r>
    </w:p>
    <w:p w:rsidR="005B3C6F" w:rsidRDefault="005B3C6F" w:rsidP="00E312BE">
      <w:pPr>
        <w:pStyle w:val="ListBullet2"/>
        <w:numPr>
          <w:ilvl w:val="0"/>
          <w:numId w:val="0"/>
        </w:numPr>
        <w:ind w:left="720" w:hanging="360"/>
      </w:pPr>
    </w:p>
    <w:p w:rsidR="003839B4" w:rsidRDefault="00ED4340" w:rsidP="00241C1B">
      <w:pPr>
        <w:pStyle w:val="Heading2"/>
      </w:pPr>
      <w:r>
        <w:t xml:space="preserve"> </w:t>
      </w:r>
      <w:r w:rsidR="00ED6D59">
        <w:t>Our plans for 2026</w:t>
      </w:r>
    </w:p>
    <w:p w:rsidR="00ED6D59" w:rsidRDefault="00ED6D59" w:rsidP="00ED6D59"/>
    <w:p w:rsidR="00ED6D59" w:rsidRDefault="00ED6D59" w:rsidP="00ED6D59">
      <w:r>
        <w:t>Sadly Strides will be closing its doors in 2026 so the current plans as pertaining to complaints management is focussed on delivering the best service up until the end of service provision in all areas, and ensuring that we continue to manage complaints within the requirements laid out by the ombudsman</w:t>
      </w:r>
      <w:r w:rsidR="005B3C6F">
        <w:t xml:space="preserve">’s code of practice. </w:t>
      </w:r>
    </w:p>
    <w:p w:rsidR="005B3C6F" w:rsidRDefault="005B3C6F" w:rsidP="00ED6D59"/>
    <w:p w:rsidR="00ED6D59" w:rsidRPr="00ED6D59" w:rsidRDefault="005B3C6F" w:rsidP="00ED6D59">
      <w:pPr>
        <w:sectPr w:rsidR="00ED6D59" w:rsidRPr="00ED6D59" w:rsidSect="00C53978">
          <w:headerReference w:type="first" r:id="rId11"/>
          <w:pgSz w:w="11906" w:h="16838" w:code="9"/>
          <w:pgMar w:top="1440" w:right="1418" w:bottom="1134" w:left="1418" w:header="567" w:footer="567" w:gutter="0"/>
          <w:cols w:space="708"/>
          <w:titlePg/>
          <w:docGrid w:linePitch="360"/>
        </w:sectPr>
      </w:pPr>
      <w:r>
        <w:t xml:space="preserve">We have brought a new Estates Officer to oversee our maintenance contracts and in particular the major plumbing remedial works that is upcoming at our </w:t>
      </w:r>
      <w:proofErr w:type="spellStart"/>
      <w:r>
        <w:t>Wincott</w:t>
      </w:r>
      <w:proofErr w:type="spellEnd"/>
      <w:r>
        <w:t xml:space="preserve"> Street property. We have also brought in an experienced support worker part time to provide weekly support sessions for our veteran’s service, she </w:t>
      </w:r>
      <w:r w:rsidR="00A24A35">
        <w:t xml:space="preserve">is </w:t>
      </w:r>
      <w:r>
        <w:t>working on general support needs as well as housing move-on.</w:t>
      </w:r>
    </w:p>
    <w:tbl>
      <w:tblPr>
        <w:tblStyle w:val="TableGrid"/>
        <w:tblW w:w="0" w:type="auto"/>
        <w:tblLook w:val="04A0" w:firstRow="1" w:lastRow="0" w:firstColumn="1" w:lastColumn="0" w:noHBand="0" w:noVBand="1"/>
      </w:tblPr>
      <w:tblGrid>
        <w:gridCol w:w="1129"/>
        <w:gridCol w:w="4449"/>
        <w:gridCol w:w="1080"/>
        <w:gridCol w:w="2409"/>
        <w:gridCol w:w="4881"/>
      </w:tblGrid>
      <w:tr w:rsidR="001D738B" w:rsidTr="006345AC">
        <w:tc>
          <w:tcPr>
            <w:tcW w:w="1129" w:type="dxa"/>
          </w:tcPr>
          <w:p w:rsidR="001D738B" w:rsidRDefault="001D738B" w:rsidP="006345AC">
            <w:pPr>
              <w:rPr>
                <w:lang w:val="en-US"/>
              </w:rPr>
            </w:pPr>
            <w:r>
              <w:rPr>
                <w:lang w:val="en-US"/>
              </w:rPr>
              <w:t>Code Provision</w:t>
            </w:r>
          </w:p>
        </w:tc>
        <w:tc>
          <w:tcPr>
            <w:tcW w:w="4449" w:type="dxa"/>
          </w:tcPr>
          <w:p w:rsidR="001D738B" w:rsidRDefault="001D738B" w:rsidP="006345AC">
            <w:pPr>
              <w:rPr>
                <w:lang w:val="en-US"/>
              </w:rPr>
            </w:pPr>
            <w:r>
              <w:rPr>
                <w:lang w:val="en-US"/>
              </w:rPr>
              <w:t>Code requirement</w:t>
            </w:r>
          </w:p>
        </w:tc>
        <w:tc>
          <w:tcPr>
            <w:tcW w:w="1080" w:type="dxa"/>
          </w:tcPr>
          <w:p w:rsidR="001D738B" w:rsidRDefault="001D738B" w:rsidP="006345AC">
            <w:pPr>
              <w:rPr>
                <w:lang w:val="en-US"/>
              </w:rPr>
            </w:pPr>
            <w:r>
              <w:rPr>
                <w:lang w:val="en-US"/>
              </w:rPr>
              <w:t>Comply Y/N</w:t>
            </w:r>
          </w:p>
        </w:tc>
        <w:tc>
          <w:tcPr>
            <w:tcW w:w="2409" w:type="dxa"/>
          </w:tcPr>
          <w:p w:rsidR="001D738B" w:rsidRDefault="001D738B" w:rsidP="006345AC">
            <w:pPr>
              <w:rPr>
                <w:lang w:val="en-US"/>
              </w:rPr>
            </w:pPr>
            <w:r>
              <w:rPr>
                <w:lang w:val="en-US"/>
              </w:rPr>
              <w:t>Evidence</w:t>
            </w:r>
          </w:p>
        </w:tc>
        <w:tc>
          <w:tcPr>
            <w:tcW w:w="4881" w:type="dxa"/>
          </w:tcPr>
          <w:p w:rsidR="001D738B" w:rsidRDefault="001D738B" w:rsidP="006345AC">
            <w:pPr>
              <w:rPr>
                <w:lang w:val="en-US"/>
              </w:rPr>
            </w:pPr>
            <w:r>
              <w:rPr>
                <w:lang w:val="en-US"/>
              </w:rPr>
              <w:t>Commentary/Explanation</w:t>
            </w:r>
          </w:p>
        </w:tc>
      </w:tr>
      <w:tr w:rsidR="001D738B" w:rsidTr="006345AC">
        <w:tc>
          <w:tcPr>
            <w:tcW w:w="1129" w:type="dxa"/>
          </w:tcPr>
          <w:p w:rsidR="001D738B" w:rsidRDefault="001D738B" w:rsidP="006345AC">
            <w:pPr>
              <w:rPr>
                <w:lang w:val="en-US"/>
              </w:rPr>
            </w:pPr>
            <w:r>
              <w:rPr>
                <w:lang w:val="en-US"/>
              </w:rPr>
              <w:t>1.2</w:t>
            </w:r>
          </w:p>
        </w:tc>
        <w:tc>
          <w:tcPr>
            <w:tcW w:w="4449" w:type="dxa"/>
          </w:tcPr>
          <w:p w:rsidR="001D738B" w:rsidRDefault="001D738B" w:rsidP="006345AC">
            <w:pPr>
              <w:rPr>
                <w:lang w:val="en-US"/>
              </w:rPr>
            </w:pPr>
            <w:r>
              <w:t>A complaint must be defined as: ‘an expression of dissatisfaction, however made, about the standard of service, actions or lack of action by the landlord, its own staff, or those acting on its behalf, affecting a resident or group of residents.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 xml:space="preserve">Section 6 of complaint policy </w:t>
            </w:r>
          </w:p>
        </w:tc>
        <w:tc>
          <w:tcPr>
            <w:tcW w:w="4881" w:type="dxa"/>
          </w:tcPr>
          <w:p w:rsidR="001D738B" w:rsidRDefault="001D738B" w:rsidP="006345AC">
            <w:pPr>
              <w:rPr>
                <w:lang w:val="en-US"/>
              </w:rPr>
            </w:pPr>
            <w:r>
              <w:rPr>
                <w:lang w:val="en-US"/>
              </w:rPr>
              <w:t xml:space="preserve">Section 6 includes the full definition as required. </w:t>
            </w:r>
          </w:p>
        </w:tc>
      </w:tr>
      <w:tr w:rsidR="001D738B" w:rsidTr="006345AC">
        <w:tc>
          <w:tcPr>
            <w:tcW w:w="1129" w:type="dxa"/>
          </w:tcPr>
          <w:p w:rsidR="001D738B" w:rsidRDefault="001D738B" w:rsidP="006345AC">
            <w:pPr>
              <w:rPr>
                <w:lang w:val="en-US"/>
              </w:rPr>
            </w:pPr>
            <w:r>
              <w:rPr>
                <w:lang w:val="en-US"/>
              </w:rPr>
              <w:t>1.3</w:t>
            </w:r>
          </w:p>
        </w:tc>
        <w:tc>
          <w:tcPr>
            <w:tcW w:w="4449" w:type="dxa"/>
          </w:tcPr>
          <w:p w:rsidR="001D738B" w:rsidRDefault="001D738B" w:rsidP="006345AC">
            <w:pPr>
              <w:rPr>
                <w:lang w:val="en-US"/>
              </w:rPr>
            </w:pPr>
            <w: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6 of complaints policy</w:t>
            </w:r>
          </w:p>
        </w:tc>
        <w:tc>
          <w:tcPr>
            <w:tcW w:w="4881" w:type="dxa"/>
          </w:tcPr>
          <w:p w:rsidR="001D738B" w:rsidRDefault="001D738B" w:rsidP="006345AC">
            <w:pPr>
              <w:rPr>
                <w:lang w:val="en-US"/>
              </w:rPr>
            </w:pPr>
            <w:r>
              <w:t>Section 6 includes this statement in full</w:t>
            </w:r>
          </w:p>
          <w:p w:rsidR="001D738B" w:rsidRDefault="001D738B" w:rsidP="006345AC">
            <w:pPr>
              <w:rPr>
                <w:lang w:val="en-US"/>
              </w:rPr>
            </w:pPr>
          </w:p>
        </w:tc>
      </w:tr>
      <w:tr w:rsidR="001D738B" w:rsidTr="006345AC">
        <w:tc>
          <w:tcPr>
            <w:tcW w:w="1129" w:type="dxa"/>
          </w:tcPr>
          <w:p w:rsidR="001D738B" w:rsidRDefault="001D738B" w:rsidP="006345AC">
            <w:r>
              <w:t>1.4</w:t>
            </w:r>
          </w:p>
        </w:tc>
        <w:tc>
          <w:tcPr>
            <w:tcW w:w="4449" w:type="dxa"/>
          </w:tcPr>
          <w:p w:rsidR="001D738B" w:rsidRDefault="001D738B" w:rsidP="006345AC">
            <w: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080" w:type="dxa"/>
          </w:tcPr>
          <w:p w:rsidR="001D738B" w:rsidRDefault="001D738B" w:rsidP="006345AC">
            <w:r>
              <w:t>Y</w:t>
            </w:r>
          </w:p>
        </w:tc>
        <w:tc>
          <w:tcPr>
            <w:tcW w:w="2409" w:type="dxa"/>
          </w:tcPr>
          <w:p w:rsidR="001D738B" w:rsidRDefault="001D738B" w:rsidP="006345AC">
            <w:r>
              <w:t>Section 6 of complaints Policy</w:t>
            </w:r>
          </w:p>
        </w:tc>
        <w:tc>
          <w:tcPr>
            <w:tcW w:w="4881" w:type="dxa"/>
          </w:tcPr>
          <w:p w:rsidR="001D738B" w:rsidRDefault="001D738B" w:rsidP="006345AC">
            <w:r>
              <w:t>This is stated in section 6 and backed up by info given to residents regarding how to raise service requests (for example raising maintenance issues)</w:t>
            </w:r>
          </w:p>
          <w:p w:rsidR="001D738B" w:rsidRDefault="001D738B" w:rsidP="006345AC"/>
        </w:tc>
      </w:tr>
      <w:tr w:rsidR="001D738B" w:rsidTr="006345AC">
        <w:tc>
          <w:tcPr>
            <w:tcW w:w="1129" w:type="dxa"/>
          </w:tcPr>
          <w:p w:rsidR="001D738B" w:rsidRDefault="001D738B" w:rsidP="006345AC">
            <w:r>
              <w:t>1.5</w:t>
            </w:r>
          </w:p>
        </w:tc>
        <w:tc>
          <w:tcPr>
            <w:tcW w:w="4449" w:type="dxa"/>
          </w:tcPr>
          <w:p w:rsidR="001D738B" w:rsidRDefault="001D738B" w:rsidP="006345AC">
            <w:r>
              <w:t>A complaint must be raised when the resident expresses dissatisfaction with the response to their service request, even if the handling of the service request remains ongoing. Landlords must not stop their efforts to address the service request if the resident complains.</w:t>
            </w:r>
          </w:p>
        </w:tc>
        <w:tc>
          <w:tcPr>
            <w:tcW w:w="1080" w:type="dxa"/>
          </w:tcPr>
          <w:p w:rsidR="001D738B" w:rsidRDefault="001D738B" w:rsidP="006345AC">
            <w:r>
              <w:t>Y</w:t>
            </w:r>
          </w:p>
        </w:tc>
        <w:tc>
          <w:tcPr>
            <w:tcW w:w="2409" w:type="dxa"/>
          </w:tcPr>
          <w:p w:rsidR="001D738B" w:rsidRPr="001E25F4" w:rsidRDefault="001D738B" w:rsidP="006345AC">
            <w:r w:rsidRPr="001E25F4">
              <w:t>Sec</w:t>
            </w:r>
            <w:r>
              <w:t>tion 6</w:t>
            </w:r>
          </w:p>
        </w:tc>
        <w:tc>
          <w:tcPr>
            <w:tcW w:w="4881" w:type="dxa"/>
          </w:tcPr>
          <w:p w:rsidR="001D738B" w:rsidRPr="001E25F4" w:rsidRDefault="001D738B" w:rsidP="006345AC">
            <w:r>
              <w:t>When a resident expresses dissatisfaction this is treated as a complaint, and the cause of grievance is investigated regardless of the progress of the response to the service request. Covered in section 6.</w:t>
            </w:r>
          </w:p>
        </w:tc>
      </w:tr>
      <w:tr w:rsidR="001D738B" w:rsidTr="006345AC">
        <w:tc>
          <w:tcPr>
            <w:tcW w:w="1129" w:type="dxa"/>
          </w:tcPr>
          <w:p w:rsidR="001D738B" w:rsidRDefault="001D738B" w:rsidP="006345AC">
            <w:r>
              <w:t>1.6</w:t>
            </w:r>
          </w:p>
        </w:tc>
        <w:tc>
          <w:tcPr>
            <w:tcW w:w="4449" w:type="dxa"/>
          </w:tcPr>
          <w:p w:rsidR="001D738B" w:rsidRDefault="001D738B" w:rsidP="006345AC">
            <w:r>
              <w:t>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w:t>
            </w:r>
          </w:p>
        </w:tc>
        <w:tc>
          <w:tcPr>
            <w:tcW w:w="1080" w:type="dxa"/>
          </w:tcPr>
          <w:p w:rsidR="001D738B" w:rsidRDefault="001D738B" w:rsidP="006345AC">
            <w:r>
              <w:t>Y</w:t>
            </w:r>
          </w:p>
        </w:tc>
        <w:tc>
          <w:tcPr>
            <w:tcW w:w="2409" w:type="dxa"/>
            <w:shd w:val="clear" w:color="auto" w:fill="FFFFFF" w:themeFill="background1"/>
          </w:tcPr>
          <w:p w:rsidR="001D738B" w:rsidRPr="001E25F4" w:rsidRDefault="001D738B" w:rsidP="006345AC">
            <w:r>
              <w:t>Section 7</w:t>
            </w:r>
          </w:p>
        </w:tc>
        <w:tc>
          <w:tcPr>
            <w:tcW w:w="4881" w:type="dxa"/>
            <w:shd w:val="clear" w:color="auto" w:fill="FFFFFF" w:themeFill="background1"/>
          </w:tcPr>
          <w:p w:rsidR="001D738B" w:rsidRPr="001E25F4" w:rsidRDefault="001D738B" w:rsidP="006345AC">
            <w:r>
              <w:t>When a survey is submitted non-anonymously and a grievance is raised, Strides will encourage the person submitting to make a complaint. Strides provides information on how to complain on all surveys and requests for feedback.</w:t>
            </w:r>
          </w:p>
        </w:tc>
      </w:tr>
      <w:tr w:rsidR="001D738B" w:rsidTr="006345AC">
        <w:tc>
          <w:tcPr>
            <w:tcW w:w="9067" w:type="dxa"/>
            <w:gridSpan w:val="4"/>
          </w:tcPr>
          <w:p w:rsidR="001D738B" w:rsidRDefault="001D738B" w:rsidP="006345AC">
            <w:r>
              <w:t>SECTION 2: EXCLUSIONS</w:t>
            </w:r>
          </w:p>
        </w:tc>
        <w:tc>
          <w:tcPr>
            <w:tcW w:w="4881" w:type="dxa"/>
          </w:tcPr>
          <w:p w:rsidR="001D738B" w:rsidRDefault="001D738B" w:rsidP="006345AC"/>
        </w:tc>
      </w:tr>
      <w:tr w:rsidR="001D738B" w:rsidTr="006345AC">
        <w:tc>
          <w:tcPr>
            <w:tcW w:w="1129" w:type="dxa"/>
          </w:tcPr>
          <w:p w:rsidR="001D738B" w:rsidRDefault="001D738B" w:rsidP="006345AC">
            <w:r>
              <w:rPr>
                <w:lang w:val="en-US"/>
              </w:rPr>
              <w:t>Code Provision</w:t>
            </w:r>
          </w:p>
        </w:tc>
        <w:tc>
          <w:tcPr>
            <w:tcW w:w="4449" w:type="dxa"/>
          </w:tcPr>
          <w:p w:rsidR="001D738B" w:rsidRDefault="001D738B" w:rsidP="006345AC">
            <w:r>
              <w:rPr>
                <w:lang w:val="en-US"/>
              </w:rPr>
              <w:t>Code requirement</w:t>
            </w:r>
          </w:p>
        </w:tc>
        <w:tc>
          <w:tcPr>
            <w:tcW w:w="1080" w:type="dxa"/>
          </w:tcPr>
          <w:p w:rsidR="001D738B" w:rsidRDefault="001D738B" w:rsidP="006345AC">
            <w:r>
              <w:rPr>
                <w:lang w:val="en-US"/>
              </w:rPr>
              <w:t>Comply Y/N</w:t>
            </w:r>
          </w:p>
        </w:tc>
        <w:tc>
          <w:tcPr>
            <w:tcW w:w="2409" w:type="dxa"/>
          </w:tcPr>
          <w:p w:rsidR="001D738B" w:rsidRDefault="001D738B" w:rsidP="006345AC">
            <w:r>
              <w:rPr>
                <w:lang w:val="en-US"/>
              </w:rPr>
              <w:t>Evidence</w:t>
            </w:r>
          </w:p>
        </w:tc>
        <w:tc>
          <w:tcPr>
            <w:tcW w:w="4881" w:type="dxa"/>
          </w:tcPr>
          <w:p w:rsidR="001D738B" w:rsidRDefault="001D738B" w:rsidP="006345AC">
            <w:r>
              <w:rPr>
                <w:lang w:val="en-US"/>
              </w:rPr>
              <w:t>Commentary/Explanation</w:t>
            </w:r>
          </w:p>
        </w:tc>
      </w:tr>
      <w:tr w:rsidR="001D738B" w:rsidTr="006345AC">
        <w:tc>
          <w:tcPr>
            <w:tcW w:w="1129" w:type="dxa"/>
          </w:tcPr>
          <w:p w:rsidR="001D738B" w:rsidRDefault="001D738B" w:rsidP="006345AC">
            <w:pPr>
              <w:rPr>
                <w:lang w:val="en-US"/>
              </w:rPr>
            </w:pPr>
            <w:r>
              <w:rPr>
                <w:lang w:val="en-US"/>
              </w:rPr>
              <w:t>2.1</w:t>
            </w:r>
          </w:p>
        </w:tc>
        <w:tc>
          <w:tcPr>
            <w:tcW w:w="4449" w:type="dxa"/>
          </w:tcPr>
          <w:p w:rsidR="001D738B" w:rsidRDefault="001D738B" w:rsidP="006345AC">
            <w:pPr>
              <w:rPr>
                <w:lang w:val="en-US"/>
              </w:rPr>
            </w:pPr>
            <w:r>
              <w:t>Landlords must accept a complaint unless there is a valid reason not to do so. If landlords decide not to accept a complaint they must be able to evidence their reasoning. Each complaint must be considered on its own merits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Appendix 1a</w:t>
            </w:r>
          </w:p>
        </w:tc>
        <w:tc>
          <w:tcPr>
            <w:tcW w:w="4881" w:type="dxa"/>
          </w:tcPr>
          <w:p w:rsidR="001D738B" w:rsidRDefault="001D738B" w:rsidP="006345AC">
            <w:pPr>
              <w:rPr>
                <w:lang w:val="en-US"/>
              </w:rPr>
            </w:pPr>
            <w:r>
              <w:rPr>
                <w:lang w:val="en-US"/>
              </w:rPr>
              <w:t xml:space="preserve">Policy states that complaints must be accepted unless they fall under an exclusion as described in Appendix 1, and that the person will be informed of the reason why a complaint was not accepted. </w:t>
            </w:r>
          </w:p>
        </w:tc>
      </w:tr>
      <w:tr w:rsidR="001D738B" w:rsidTr="006345AC">
        <w:tc>
          <w:tcPr>
            <w:tcW w:w="1129" w:type="dxa"/>
          </w:tcPr>
          <w:p w:rsidR="001D738B" w:rsidRDefault="001D738B" w:rsidP="006345AC">
            <w:pPr>
              <w:rPr>
                <w:lang w:val="en-US"/>
              </w:rPr>
            </w:pPr>
            <w:r>
              <w:rPr>
                <w:lang w:val="en-US"/>
              </w:rPr>
              <w:t>2.2</w:t>
            </w:r>
          </w:p>
        </w:tc>
        <w:tc>
          <w:tcPr>
            <w:tcW w:w="4449" w:type="dxa"/>
          </w:tcPr>
          <w:p w:rsidR="001D738B" w:rsidRDefault="001D738B" w:rsidP="006345AC">
            <w:r>
              <w:t xml:space="preserve">A complaints policy must set out the circumstances in which a matter will not be considered as a complaint or escalated, and these circumstances must be fair and reasonable to residents. Acceptable exclusions include: </w:t>
            </w:r>
          </w:p>
          <w:p w:rsidR="001D738B" w:rsidRDefault="001D738B" w:rsidP="001D738B">
            <w:pPr>
              <w:pStyle w:val="ListParagraph"/>
              <w:numPr>
                <w:ilvl w:val="0"/>
                <w:numId w:val="39"/>
              </w:numPr>
              <w:spacing w:line="240" w:lineRule="auto"/>
            </w:pPr>
            <w:r>
              <w:t xml:space="preserve">The issue giving rise to the complaint occurred over twelve months ago. </w:t>
            </w:r>
          </w:p>
          <w:p w:rsidR="001D738B" w:rsidRDefault="001D738B" w:rsidP="001D738B">
            <w:pPr>
              <w:pStyle w:val="ListParagraph"/>
              <w:numPr>
                <w:ilvl w:val="0"/>
                <w:numId w:val="39"/>
              </w:numPr>
              <w:spacing w:line="240" w:lineRule="auto"/>
            </w:pPr>
            <w:r>
              <w:t>Legal proceedings have started. This is defined as details of the claim, such as the Claim Form and Particulars of Claim, having been filed at court.</w:t>
            </w:r>
          </w:p>
          <w:p w:rsidR="001D738B" w:rsidRPr="00F472DC" w:rsidRDefault="001D738B" w:rsidP="001D738B">
            <w:pPr>
              <w:pStyle w:val="ListParagraph"/>
              <w:numPr>
                <w:ilvl w:val="0"/>
                <w:numId w:val="39"/>
              </w:numPr>
              <w:spacing w:line="240" w:lineRule="auto"/>
            </w:pPr>
            <w:r>
              <w:t>Matters that have previously been considered under the complaints policy.</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Exclusions- including the 3 examples given by the Ombudsman- are listed in appendix 1 A-C</w:t>
            </w:r>
          </w:p>
        </w:tc>
        <w:tc>
          <w:tcPr>
            <w:tcW w:w="4881" w:type="dxa"/>
          </w:tcPr>
          <w:p w:rsidR="001D738B" w:rsidRPr="00812A00" w:rsidRDefault="001D738B" w:rsidP="006345AC">
            <w:pPr>
              <w:rPr>
                <w:lang w:val="en-US"/>
              </w:rPr>
            </w:pPr>
          </w:p>
        </w:tc>
      </w:tr>
      <w:tr w:rsidR="001D738B" w:rsidTr="006345AC">
        <w:tc>
          <w:tcPr>
            <w:tcW w:w="1129" w:type="dxa"/>
          </w:tcPr>
          <w:p w:rsidR="001D738B" w:rsidRDefault="001D738B" w:rsidP="006345AC">
            <w:pPr>
              <w:rPr>
                <w:lang w:val="en-US"/>
              </w:rPr>
            </w:pPr>
            <w:r>
              <w:rPr>
                <w:lang w:val="en-US"/>
              </w:rPr>
              <w:t>2.3</w:t>
            </w:r>
          </w:p>
        </w:tc>
        <w:tc>
          <w:tcPr>
            <w:tcW w:w="4449" w:type="dxa"/>
          </w:tcPr>
          <w:p w:rsidR="001D738B" w:rsidRDefault="001D738B" w:rsidP="006345AC">
            <w:pPr>
              <w:rPr>
                <w:lang w:val="en-US"/>
              </w:rPr>
            </w:pPr>
            <w:r>
              <w:t>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6 of complaints policy</w:t>
            </w:r>
          </w:p>
        </w:tc>
        <w:tc>
          <w:tcPr>
            <w:tcW w:w="4881" w:type="dxa"/>
          </w:tcPr>
          <w:p w:rsidR="001D738B" w:rsidRDefault="001D738B" w:rsidP="006345AC">
            <w:pPr>
              <w:rPr>
                <w:lang w:val="en-US"/>
              </w:rPr>
            </w:pPr>
          </w:p>
          <w:p w:rsidR="001D738B" w:rsidRDefault="001D738B" w:rsidP="006345AC">
            <w:pPr>
              <w:rPr>
                <w:lang w:val="en-US"/>
              </w:rPr>
            </w:pPr>
          </w:p>
        </w:tc>
      </w:tr>
      <w:tr w:rsidR="001D738B" w:rsidTr="006345AC">
        <w:tc>
          <w:tcPr>
            <w:tcW w:w="1129" w:type="dxa"/>
          </w:tcPr>
          <w:p w:rsidR="001D738B" w:rsidRDefault="001D738B" w:rsidP="006345AC">
            <w:pPr>
              <w:rPr>
                <w:lang w:val="en-US"/>
              </w:rPr>
            </w:pPr>
            <w:r>
              <w:rPr>
                <w:lang w:val="en-US"/>
              </w:rPr>
              <w:t>2.4</w:t>
            </w:r>
          </w:p>
        </w:tc>
        <w:tc>
          <w:tcPr>
            <w:tcW w:w="4449" w:type="dxa"/>
          </w:tcPr>
          <w:p w:rsidR="001D738B" w:rsidRDefault="001D738B" w:rsidP="006345AC">
            <w:pPr>
              <w:rPr>
                <w:lang w:val="en-US"/>
              </w:rPr>
            </w:pPr>
            <w: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Appendix 1a</w:t>
            </w:r>
          </w:p>
        </w:tc>
        <w:tc>
          <w:tcPr>
            <w:tcW w:w="4881" w:type="dxa"/>
          </w:tcPr>
          <w:p w:rsidR="001D738B" w:rsidRPr="004E45C2"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2.5</w:t>
            </w:r>
          </w:p>
        </w:tc>
        <w:tc>
          <w:tcPr>
            <w:tcW w:w="4449" w:type="dxa"/>
          </w:tcPr>
          <w:p w:rsidR="001D738B" w:rsidRDefault="001D738B" w:rsidP="006345AC">
            <w:r>
              <w:t>Landlords must not take a blanket approach to excluding complaints; they must consider the individual circumstances of each complaint.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Appendix 1a</w:t>
            </w:r>
          </w:p>
        </w:tc>
        <w:tc>
          <w:tcPr>
            <w:tcW w:w="4881" w:type="dxa"/>
          </w:tcPr>
          <w:p w:rsidR="001D738B" w:rsidRPr="004E45C2" w:rsidRDefault="001D738B" w:rsidP="006345AC"/>
        </w:tc>
      </w:tr>
      <w:tr w:rsidR="001D738B" w:rsidTr="006345AC">
        <w:tc>
          <w:tcPr>
            <w:tcW w:w="13948" w:type="dxa"/>
            <w:gridSpan w:val="5"/>
          </w:tcPr>
          <w:p w:rsidR="001D738B" w:rsidRPr="004E45C2" w:rsidRDefault="001D738B" w:rsidP="006345AC">
            <w:pPr>
              <w:rPr>
                <w:lang w:val="en-US"/>
              </w:rPr>
            </w:pPr>
            <w:r>
              <w:rPr>
                <w:lang w:val="en-US"/>
              </w:rPr>
              <w:t>SECTION 3: ACCESSIBILITY AND AWARENESS</w:t>
            </w:r>
          </w:p>
        </w:tc>
      </w:tr>
      <w:tr w:rsidR="001D738B" w:rsidTr="006345AC">
        <w:tc>
          <w:tcPr>
            <w:tcW w:w="1129" w:type="dxa"/>
          </w:tcPr>
          <w:p w:rsidR="001D738B" w:rsidRDefault="001D738B" w:rsidP="006345AC">
            <w:pPr>
              <w:rPr>
                <w:lang w:val="en-US"/>
              </w:rPr>
            </w:pPr>
            <w:r>
              <w:rPr>
                <w:lang w:val="en-US"/>
              </w:rPr>
              <w:t>Code Provision</w:t>
            </w:r>
          </w:p>
        </w:tc>
        <w:tc>
          <w:tcPr>
            <w:tcW w:w="4449" w:type="dxa"/>
          </w:tcPr>
          <w:p w:rsidR="001D738B" w:rsidRDefault="001D738B" w:rsidP="006345AC">
            <w:r>
              <w:rPr>
                <w:lang w:val="en-US"/>
              </w:rPr>
              <w:t>Code requirement</w:t>
            </w:r>
          </w:p>
        </w:tc>
        <w:tc>
          <w:tcPr>
            <w:tcW w:w="1080" w:type="dxa"/>
          </w:tcPr>
          <w:p w:rsidR="001D738B" w:rsidRDefault="001D738B" w:rsidP="006345AC">
            <w:pPr>
              <w:rPr>
                <w:lang w:val="en-US"/>
              </w:rPr>
            </w:pPr>
            <w:r>
              <w:rPr>
                <w:lang w:val="en-US"/>
              </w:rPr>
              <w:t>Comply Y/N</w:t>
            </w:r>
          </w:p>
        </w:tc>
        <w:tc>
          <w:tcPr>
            <w:tcW w:w="2409" w:type="dxa"/>
          </w:tcPr>
          <w:p w:rsidR="001D738B" w:rsidRDefault="001D738B" w:rsidP="006345AC">
            <w:pPr>
              <w:rPr>
                <w:lang w:val="en-US"/>
              </w:rPr>
            </w:pPr>
            <w:r>
              <w:rPr>
                <w:lang w:val="en-US"/>
              </w:rPr>
              <w:t>Evidence</w:t>
            </w:r>
          </w:p>
        </w:tc>
        <w:tc>
          <w:tcPr>
            <w:tcW w:w="4881" w:type="dxa"/>
          </w:tcPr>
          <w:p w:rsidR="001D738B" w:rsidRDefault="001D738B" w:rsidP="006345AC">
            <w:pPr>
              <w:rPr>
                <w:highlight w:val="red"/>
                <w:lang w:val="en-US"/>
              </w:rPr>
            </w:pPr>
            <w:r>
              <w:rPr>
                <w:lang w:val="en-US"/>
              </w:rPr>
              <w:t>Commentary/Explanation</w:t>
            </w:r>
          </w:p>
        </w:tc>
      </w:tr>
      <w:tr w:rsidR="001D738B" w:rsidTr="006345AC">
        <w:tc>
          <w:tcPr>
            <w:tcW w:w="1129" w:type="dxa"/>
          </w:tcPr>
          <w:p w:rsidR="001D738B" w:rsidRDefault="001D738B" w:rsidP="006345AC">
            <w:pPr>
              <w:rPr>
                <w:lang w:val="en-US"/>
              </w:rPr>
            </w:pPr>
            <w:r>
              <w:rPr>
                <w:lang w:val="en-US"/>
              </w:rPr>
              <w:t>3.1</w:t>
            </w:r>
          </w:p>
        </w:tc>
        <w:tc>
          <w:tcPr>
            <w:tcW w:w="4449" w:type="dxa"/>
          </w:tcPr>
          <w:p w:rsidR="001D738B" w:rsidRDefault="001D738B" w:rsidP="006345AC">
            <w:r>
              <w:t>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7</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3.2</w:t>
            </w:r>
          </w:p>
        </w:tc>
        <w:tc>
          <w:tcPr>
            <w:tcW w:w="4449" w:type="dxa"/>
          </w:tcPr>
          <w:p w:rsidR="001D738B" w:rsidRDefault="001D738B" w:rsidP="006345AC">
            <w:r>
              <w:t>Residents must be able to raise their complaints in any way and with any member of staff. All staff must be aware of the complaints process and be able to pass details of the complaint to the appropriate person within the landlord.</w:t>
            </w:r>
          </w:p>
        </w:tc>
        <w:tc>
          <w:tcPr>
            <w:tcW w:w="1080" w:type="dxa"/>
          </w:tcPr>
          <w:p w:rsidR="001D738B" w:rsidRDefault="001D738B" w:rsidP="006345AC">
            <w:pPr>
              <w:rPr>
                <w:lang w:val="en-US"/>
              </w:rPr>
            </w:pPr>
            <w:r>
              <w:rPr>
                <w:lang w:val="en-US"/>
              </w:rPr>
              <w:t>Y</w:t>
            </w:r>
          </w:p>
        </w:tc>
        <w:tc>
          <w:tcPr>
            <w:tcW w:w="2409" w:type="dxa"/>
          </w:tcPr>
          <w:p w:rsidR="001D738B" w:rsidRPr="00A02C62" w:rsidRDefault="001D738B" w:rsidP="006345AC">
            <w:pPr>
              <w:rPr>
                <w:lang w:val="en-US"/>
              </w:rPr>
            </w:pPr>
            <w:r w:rsidRPr="00A02C62">
              <w:rPr>
                <w:lang w:val="en-US"/>
              </w:rPr>
              <w:t>Section 7</w:t>
            </w:r>
          </w:p>
        </w:tc>
        <w:tc>
          <w:tcPr>
            <w:tcW w:w="4881" w:type="dxa"/>
          </w:tcPr>
          <w:p w:rsidR="001D738B" w:rsidRPr="00A02C62" w:rsidRDefault="001D738B" w:rsidP="006345AC">
            <w:pPr>
              <w:rPr>
                <w:lang w:val="en-US"/>
              </w:rPr>
            </w:pPr>
            <w:r>
              <w:t xml:space="preserve">All staff who come into contact with residents are able to identify where a complaint is being made in whatever way (for example verbally, via email </w:t>
            </w:r>
            <w:proofErr w:type="spellStart"/>
            <w:r>
              <w:t>etc</w:t>
            </w:r>
            <w:proofErr w:type="spellEnd"/>
            <w:r>
              <w:t xml:space="preserve">) and pass this complaint to whichever manager is the local complaints lead. </w:t>
            </w:r>
          </w:p>
        </w:tc>
      </w:tr>
      <w:tr w:rsidR="001D738B" w:rsidTr="006345AC">
        <w:tc>
          <w:tcPr>
            <w:tcW w:w="1129" w:type="dxa"/>
          </w:tcPr>
          <w:p w:rsidR="001D738B" w:rsidRDefault="001D738B" w:rsidP="006345AC">
            <w:pPr>
              <w:rPr>
                <w:lang w:val="en-US"/>
              </w:rPr>
            </w:pPr>
            <w:r>
              <w:rPr>
                <w:lang w:val="en-US"/>
              </w:rPr>
              <w:t>3.3</w:t>
            </w:r>
          </w:p>
        </w:tc>
        <w:tc>
          <w:tcPr>
            <w:tcW w:w="4449" w:type="dxa"/>
          </w:tcPr>
          <w:p w:rsidR="001D738B" w:rsidRDefault="001D738B" w:rsidP="006345AC">
            <w:r>
              <w:t>High volumes of complaints must not be seen as a negative, as they can be indicative of a well-publicised and accessible complaints process. Low complaint volumes are potentially a sign that residents are unable to complain.</w:t>
            </w:r>
          </w:p>
        </w:tc>
        <w:tc>
          <w:tcPr>
            <w:tcW w:w="1080" w:type="dxa"/>
          </w:tcPr>
          <w:p w:rsidR="001D738B" w:rsidRDefault="001D738B" w:rsidP="006345AC">
            <w:pPr>
              <w:rPr>
                <w:lang w:val="en-US"/>
              </w:rPr>
            </w:pPr>
            <w:r>
              <w:rPr>
                <w:lang w:val="en-US"/>
              </w:rPr>
              <w:t>Y</w:t>
            </w:r>
          </w:p>
        </w:tc>
        <w:tc>
          <w:tcPr>
            <w:tcW w:w="2409" w:type="dxa"/>
          </w:tcPr>
          <w:p w:rsidR="001D738B" w:rsidRPr="00A02C62" w:rsidRDefault="001D738B" w:rsidP="006345AC">
            <w:pPr>
              <w:rPr>
                <w:lang w:val="en-US"/>
              </w:rPr>
            </w:pPr>
            <w:r w:rsidRPr="00A02C62">
              <w:rPr>
                <w:lang w:val="en-US"/>
              </w:rPr>
              <w:t>Section 8</w:t>
            </w:r>
          </w:p>
        </w:tc>
        <w:tc>
          <w:tcPr>
            <w:tcW w:w="4881" w:type="dxa"/>
          </w:tcPr>
          <w:p w:rsidR="001D738B" w:rsidRPr="00A02C62" w:rsidRDefault="001D738B" w:rsidP="006345AC">
            <w:pPr>
              <w:rPr>
                <w:lang w:val="en-US"/>
              </w:rPr>
            </w:pPr>
          </w:p>
        </w:tc>
      </w:tr>
      <w:tr w:rsidR="001D738B" w:rsidTr="006345AC">
        <w:tc>
          <w:tcPr>
            <w:tcW w:w="1129" w:type="dxa"/>
          </w:tcPr>
          <w:p w:rsidR="001D738B" w:rsidRDefault="001D738B" w:rsidP="006345AC">
            <w:pPr>
              <w:rPr>
                <w:lang w:val="en-US"/>
              </w:rPr>
            </w:pPr>
            <w:r>
              <w:rPr>
                <w:lang w:val="en-US"/>
              </w:rPr>
              <w:t>3.4</w:t>
            </w:r>
          </w:p>
        </w:tc>
        <w:tc>
          <w:tcPr>
            <w:tcW w:w="4449" w:type="dxa"/>
          </w:tcPr>
          <w:p w:rsidR="001D738B" w:rsidRDefault="001D738B" w:rsidP="006345AC">
            <w: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 xml:space="preserve">The complaints policy is uploaded on the website, emailed out to anyone who makes a complaint, and given in print if requested. </w:t>
            </w:r>
          </w:p>
        </w:tc>
        <w:tc>
          <w:tcPr>
            <w:tcW w:w="4881" w:type="dxa"/>
          </w:tcPr>
          <w:p w:rsidR="001D738B" w:rsidRDefault="001D738B" w:rsidP="006345AC">
            <w:pPr>
              <w:rPr>
                <w:highlight w:val="red"/>
                <w:lang w:val="en-US"/>
              </w:rPr>
            </w:pPr>
            <w:r>
              <w:rPr>
                <w:lang w:val="en-US"/>
              </w:rPr>
              <w:t>The complaints policy is uploaded on the website, emailed out to anyone who makes a complaint, and given in print if requested.</w:t>
            </w:r>
          </w:p>
        </w:tc>
      </w:tr>
      <w:tr w:rsidR="001D738B" w:rsidTr="006345AC">
        <w:tc>
          <w:tcPr>
            <w:tcW w:w="1129" w:type="dxa"/>
          </w:tcPr>
          <w:p w:rsidR="001D738B" w:rsidRDefault="001D738B" w:rsidP="006345AC">
            <w:pPr>
              <w:rPr>
                <w:lang w:val="en-US"/>
              </w:rPr>
            </w:pPr>
            <w:r>
              <w:rPr>
                <w:lang w:val="en-US"/>
              </w:rPr>
              <w:t>3.5</w:t>
            </w:r>
          </w:p>
        </w:tc>
        <w:tc>
          <w:tcPr>
            <w:tcW w:w="4449" w:type="dxa"/>
          </w:tcPr>
          <w:p w:rsidR="001D738B" w:rsidRDefault="001D738B" w:rsidP="006345AC">
            <w:r>
              <w:t>The policy must explain how the landlord will publicise details of the complaints policy, including information about the Ombudsman and this Code.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 xml:space="preserve">Section 7, </w:t>
            </w:r>
          </w:p>
        </w:tc>
        <w:tc>
          <w:tcPr>
            <w:tcW w:w="4881" w:type="dxa"/>
          </w:tcPr>
          <w:p w:rsidR="001D738B" w:rsidRPr="008F23A1" w:rsidRDefault="001D738B" w:rsidP="006345AC">
            <w:pPr>
              <w:rPr>
                <w:color w:val="0070C0"/>
                <w:lang w:val="en-US"/>
              </w:rPr>
            </w:pPr>
            <w:r w:rsidRPr="008F23A1">
              <w:rPr>
                <w:lang w:val="en-US"/>
              </w:rPr>
              <w:t xml:space="preserve">Section 7 states that the policy is published on </w:t>
            </w:r>
            <w:proofErr w:type="spellStart"/>
            <w:r w:rsidRPr="008F23A1">
              <w:rPr>
                <w:lang w:val="en-US"/>
              </w:rPr>
              <w:t>out</w:t>
            </w:r>
            <w:proofErr w:type="spellEnd"/>
            <w:r w:rsidRPr="008F23A1">
              <w:rPr>
                <w:lang w:val="en-US"/>
              </w:rPr>
              <w:t xml:space="preserve"> website. There is also a ‘how to complain’ plain speech summary of how to complain and what to expect, this includes all contact details for the ombudsman and how to access this code</w:t>
            </w:r>
          </w:p>
        </w:tc>
      </w:tr>
      <w:tr w:rsidR="001D738B" w:rsidTr="006345AC">
        <w:tc>
          <w:tcPr>
            <w:tcW w:w="1129" w:type="dxa"/>
          </w:tcPr>
          <w:p w:rsidR="001D738B" w:rsidRDefault="001D738B" w:rsidP="006345AC">
            <w:pPr>
              <w:rPr>
                <w:lang w:val="en-US"/>
              </w:rPr>
            </w:pPr>
            <w:r>
              <w:rPr>
                <w:lang w:val="en-US"/>
              </w:rPr>
              <w:t>3.6</w:t>
            </w:r>
          </w:p>
        </w:tc>
        <w:tc>
          <w:tcPr>
            <w:tcW w:w="4449" w:type="dxa"/>
          </w:tcPr>
          <w:p w:rsidR="001D738B" w:rsidRDefault="001D738B" w:rsidP="006345AC">
            <w:r>
              <w:t>Landlords must give residents the opportunity to have a representative deal with their complaint on their behalf, and to be represented or accompanied at any meeting with the landlord.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7</w:t>
            </w:r>
          </w:p>
        </w:tc>
        <w:tc>
          <w:tcPr>
            <w:tcW w:w="4881" w:type="dxa"/>
          </w:tcPr>
          <w:p w:rsidR="001D738B" w:rsidRDefault="001D738B" w:rsidP="006345AC">
            <w:pPr>
              <w:rPr>
                <w:highlight w:val="red"/>
                <w:lang w:val="en-US"/>
              </w:rPr>
            </w:pPr>
            <w:r w:rsidRPr="00821581">
              <w:rPr>
                <w:lang w:val="en-US"/>
              </w:rPr>
              <w:t xml:space="preserve">Policy confirms that complaints can be made by and dealt with by a representative. </w:t>
            </w:r>
          </w:p>
        </w:tc>
      </w:tr>
      <w:tr w:rsidR="001D738B" w:rsidTr="006345AC">
        <w:tc>
          <w:tcPr>
            <w:tcW w:w="1129" w:type="dxa"/>
          </w:tcPr>
          <w:p w:rsidR="001D738B" w:rsidRDefault="001D738B" w:rsidP="006345AC">
            <w:pPr>
              <w:rPr>
                <w:lang w:val="en-US"/>
              </w:rPr>
            </w:pPr>
            <w:r>
              <w:rPr>
                <w:lang w:val="en-US"/>
              </w:rPr>
              <w:t>3.7</w:t>
            </w:r>
          </w:p>
        </w:tc>
        <w:tc>
          <w:tcPr>
            <w:tcW w:w="4449" w:type="dxa"/>
          </w:tcPr>
          <w:p w:rsidR="001D738B" w:rsidRDefault="001D738B" w:rsidP="006345AC">
            <w:r>
              <w:t>Landlords must provide residents with information on their right to access the Ombudsman service and how the individual can engage with the Ombudsman about their complaint.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7</w:t>
            </w:r>
          </w:p>
        </w:tc>
        <w:tc>
          <w:tcPr>
            <w:tcW w:w="4881" w:type="dxa"/>
          </w:tcPr>
          <w:p w:rsidR="001D738B" w:rsidRDefault="001D738B" w:rsidP="006345AC">
            <w:pPr>
              <w:rPr>
                <w:highlight w:val="red"/>
                <w:lang w:val="en-US"/>
              </w:rPr>
            </w:pPr>
          </w:p>
        </w:tc>
      </w:tr>
      <w:tr w:rsidR="001D738B" w:rsidTr="006345AC">
        <w:tc>
          <w:tcPr>
            <w:tcW w:w="13948" w:type="dxa"/>
            <w:gridSpan w:val="5"/>
          </w:tcPr>
          <w:p w:rsidR="001D738B" w:rsidRDefault="001D738B" w:rsidP="006345AC">
            <w:pPr>
              <w:rPr>
                <w:highlight w:val="red"/>
                <w:lang w:val="en-US"/>
              </w:rPr>
            </w:pPr>
            <w:r w:rsidRPr="00BA38AB">
              <w:rPr>
                <w:lang w:val="en-US"/>
              </w:rPr>
              <w:t>Comp</w:t>
            </w:r>
            <w:r>
              <w:rPr>
                <w:lang w:val="en-US"/>
              </w:rPr>
              <w:t>l</w:t>
            </w:r>
            <w:r w:rsidRPr="00BA38AB">
              <w:rPr>
                <w:lang w:val="en-US"/>
              </w:rPr>
              <w:t>aint handling Staff</w:t>
            </w:r>
          </w:p>
        </w:tc>
      </w:tr>
      <w:tr w:rsidR="001D738B" w:rsidTr="006345AC">
        <w:tc>
          <w:tcPr>
            <w:tcW w:w="1129" w:type="dxa"/>
          </w:tcPr>
          <w:p w:rsidR="001D738B" w:rsidRDefault="001D738B" w:rsidP="006345AC">
            <w:pPr>
              <w:rPr>
                <w:lang w:val="en-US"/>
              </w:rPr>
            </w:pPr>
            <w:r>
              <w:rPr>
                <w:lang w:val="en-US"/>
              </w:rPr>
              <w:t>4.1</w:t>
            </w:r>
          </w:p>
        </w:tc>
        <w:tc>
          <w:tcPr>
            <w:tcW w:w="4449" w:type="dxa"/>
          </w:tcPr>
          <w:p w:rsidR="001D738B" w:rsidRDefault="001D738B" w:rsidP="006345AC">
            <w:r>
              <w:t>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5</w:t>
            </w:r>
          </w:p>
        </w:tc>
        <w:tc>
          <w:tcPr>
            <w:tcW w:w="4881" w:type="dxa"/>
          </w:tcPr>
          <w:p w:rsidR="001D738B" w:rsidRPr="00BA38AB" w:rsidRDefault="001D738B" w:rsidP="006345AC">
            <w:r w:rsidRPr="00BA38AB">
              <w:t>Section 5 lays out accountability and responsibilities as follows:</w:t>
            </w:r>
          </w:p>
          <w:p w:rsidR="001D738B" w:rsidRPr="00BA38AB" w:rsidRDefault="001D738B" w:rsidP="006345AC">
            <w:pPr>
              <w:rPr>
                <w:rFonts w:cs="Arial"/>
              </w:rPr>
            </w:pPr>
            <w:r w:rsidRPr="00A74DED">
              <w:rPr>
                <w:rFonts w:cs="Arial"/>
                <w:b/>
              </w:rPr>
              <w:t>Policy owner</w:t>
            </w:r>
            <w:r>
              <w:rPr>
                <w:rFonts w:cs="Arial"/>
                <w:b/>
              </w:rPr>
              <w:t xml:space="preserve">: </w:t>
            </w:r>
            <w:r w:rsidRPr="00A74DED">
              <w:rPr>
                <w:rFonts w:cs="Arial"/>
              </w:rPr>
              <w:t>Head of Community</w:t>
            </w:r>
            <w:proofErr w:type="gramStart"/>
            <w:r w:rsidRPr="00A74DED">
              <w:rPr>
                <w:rFonts w:cs="Arial"/>
              </w:rPr>
              <w:t>:;</w:t>
            </w:r>
            <w:proofErr w:type="gramEnd"/>
            <w:r w:rsidRPr="00BA38AB">
              <w:rPr>
                <w:rFonts w:cs="Arial"/>
              </w:rPr>
              <w:t xml:space="preserve"> ensures implementation and compliance.</w:t>
            </w:r>
          </w:p>
          <w:p w:rsidR="001D738B" w:rsidRPr="00BA38AB" w:rsidRDefault="001D738B" w:rsidP="006345AC">
            <w:pPr>
              <w:rPr>
                <w:rFonts w:cs="Arial"/>
              </w:rPr>
            </w:pPr>
            <w:r w:rsidRPr="00BA38AB">
              <w:rPr>
                <w:rFonts w:cs="Arial"/>
                <w:b/>
              </w:rPr>
              <w:t>Complaints Officer function:</w:t>
            </w:r>
            <w:r>
              <w:rPr>
                <w:rFonts w:cs="Arial"/>
                <w:b/>
              </w:rPr>
              <w:t xml:space="preserve"> </w:t>
            </w:r>
            <w:r>
              <w:rPr>
                <w:rFonts w:cs="Arial"/>
              </w:rPr>
              <w:t>this role is merged with the Policy Owner role and is performed by Head of Community. They are r</w:t>
            </w:r>
            <w:r w:rsidRPr="00BA38AB">
              <w:rPr>
                <w:rFonts w:cs="Arial"/>
              </w:rPr>
              <w:t>esponsible for complaint handling oversight, liaison with the Housing Ombudsman, and repo</w:t>
            </w:r>
            <w:r>
              <w:rPr>
                <w:rFonts w:cs="Arial"/>
              </w:rPr>
              <w:t>rting to the governing body; and have</w:t>
            </w:r>
            <w:r w:rsidRPr="00BA38AB">
              <w:rPr>
                <w:rFonts w:cs="Arial"/>
              </w:rPr>
              <w:t xml:space="preserve"> authority </w:t>
            </w:r>
            <w:r>
              <w:rPr>
                <w:rFonts w:cs="Arial"/>
              </w:rPr>
              <w:t xml:space="preserve">over </w:t>
            </w:r>
            <w:r w:rsidRPr="00BA38AB">
              <w:rPr>
                <w:rFonts w:cs="Arial"/>
              </w:rPr>
              <w:t>and access to staff at all levels</w:t>
            </w:r>
            <w:r>
              <w:rPr>
                <w:rFonts w:cs="Arial"/>
              </w:rPr>
              <w:t xml:space="preserve">. </w:t>
            </w:r>
          </w:p>
          <w:p w:rsidR="001D738B" w:rsidRPr="00BA38AB" w:rsidRDefault="001D738B" w:rsidP="006345AC">
            <w:pPr>
              <w:rPr>
                <w:rFonts w:cs="Arial"/>
              </w:rPr>
            </w:pPr>
            <w:r w:rsidRPr="00BA38AB">
              <w:rPr>
                <w:rFonts w:cs="Arial"/>
                <w:b/>
              </w:rPr>
              <w:t>Service Managers:</w:t>
            </w:r>
            <w:r w:rsidRPr="00BA38AB">
              <w:rPr>
                <w:rFonts w:cs="Arial"/>
              </w:rPr>
              <w:t xml:space="preserve"> Discuss complaints in team meetings; ensure actions and feedback; lead an open, learning culture; ensure timely acknowledgments/responses and Inform logging; ensure apologies and remedies are delivered.</w:t>
            </w:r>
          </w:p>
          <w:p w:rsidR="001D738B" w:rsidRPr="00BA38AB" w:rsidRDefault="001D738B" w:rsidP="006345AC">
            <w:pPr>
              <w:rPr>
                <w:rFonts w:cs="Arial"/>
              </w:rPr>
            </w:pPr>
            <w:r w:rsidRPr="00BA38AB">
              <w:rPr>
                <w:rFonts w:cs="Arial"/>
                <w:b/>
              </w:rPr>
              <w:t>All staff/volunteers</w:t>
            </w:r>
            <w:r w:rsidRPr="00BA38AB">
              <w:rPr>
                <w:rFonts w:cs="Arial"/>
              </w:rPr>
              <w:t>: Read and follow this policy; treat people with dignity; log complaints promptly; offer representatives and adjustments.</w:t>
            </w:r>
          </w:p>
          <w:p w:rsidR="001D738B" w:rsidRPr="00BA38A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4.2</w:t>
            </w:r>
          </w:p>
        </w:tc>
        <w:tc>
          <w:tcPr>
            <w:tcW w:w="4449" w:type="dxa"/>
          </w:tcPr>
          <w:p w:rsidR="001D738B" w:rsidRDefault="001D738B" w:rsidP="006345AC">
            <w:r>
              <w:t>The complaints officer must have access to staff at all levels to facilitate the prompt resolution of complaints. They must also have the authority and autonomy to act to resolve disputes promptly and fairly.</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5</w:t>
            </w:r>
          </w:p>
        </w:tc>
        <w:tc>
          <w:tcPr>
            <w:tcW w:w="4881" w:type="dxa"/>
          </w:tcPr>
          <w:p w:rsidR="001D738B" w:rsidRDefault="001D738B" w:rsidP="006345AC">
            <w:pPr>
              <w:rPr>
                <w:highlight w:val="red"/>
                <w:lang w:val="en-US"/>
              </w:rPr>
            </w:pPr>
            <w:r>
              <w:t>The Head of Community has authority over and access to all staff relating to a complaint, as set out in section 5.</w:t>
            </w:r>
          </w:p>
        </w:tc>
      </w:tr>
      <w:tr w:rsidR="001D738B" w:rsidTr="006345AC">
        <w:tc>
          <w:tcPr>
            <w:tcW w:w="1129" w:type="dxa"/>
          </w:tcPr>
          <w:p w:rsidR="001D738B" w:rsidRDefault="001D738B" w:rsidP="006345AC">
            <w:pPr>
              <w:rPr>
                <w:lang w:val="en-US"/>
              </w:rPr>
            </w:pPr>
            <w:r>
              <w:rPr>
                <w:lang w:val="en-US"/>
              </w:rPr>
              <w:t>4.3</w:t>
            </w:r>
          </w:p>
        </w:tc>
        <w:tc>
          <w:tcPr>
            <w:tcW w:w="4449" w:type="dxa"/>
          </w:tcPr>
          <w:p w:rsidR="001D738B" w:rsidRDefault="001D738B" w:rsidP="006345AC">
            <w: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8</w:t>
            </w:r>
          </w:p>
        </w:tc>
        <w:tc>
          <w:tcPr>
            <w:tcW w:w="4881" w:type="dxa"/>
          </w:tcPr>
          <w:p w:rsidR="001D738B" w:rsidRDefault="001D738B" w:rsidP="006345AC">
            <w:pPr>
              <w:rPr>
                <w:highlight w:val="red"/>
                <w:lang w:val="en-US"/>
              </w:rPr>
            </w:pPr>
            <w:r>
              <w:t>Strides ensures a culture that encourages and utilises complaints in order to learn and improve. All staff are trained around the policy and managers at every level regularly check in with all staff (including external professionals and agencies) around any feedback and complaints, and are supported to ensure effective complaint management and prioritise satisfactory resolutions.</w:t>
            </w:r>
          </w:p>
        </w:tc>
      </w:tr>
      <w:tr w:rsidR="001D738B" w:rsidTr="006345AC">
        <w:tc>
          <w:tcPr>
            <w:tcW w:w="1129" w:type="dxa"/>
            <w:shd w:val="clear" w:color="auto" w:fill="A6FCFF" w:themeFill="accent1" w:themeFillTint="33"/>
          </w:tcPr>
          <w:p w:rsidR="001D738B" w:rsidRDefault="001D738B" w:rsidP="006345AC">
            <w:pPr>
              <w:rPr>
                <w:lang w:val="en-US"/>
              </w:rPr>
            </w:pPr>
          </w:p>
        </w:tc>
        <w:tc>
          <w:tcPr>
            <w:tcW w:w="4449" w:type="dxa"/>
            <w:shd w:val="clear" w:color="auto" w:fill="A6FCFF" w:themeFill="accent1" w:themeFillTint="33"/>
          </w:tcPr>
          <w:p w:rsidR="001D738B" w:rsidRDefault="001D738B" w:rsidP="006345AC">
            <w:r>
              <w:t>Section 5: The Complaint Handling Process</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5.1</w:t>
            </w:r>
          </w:p>
        </w:tc>
        <w:tc>
          <w:tcPr>
            <w:tcW w:w="4449" w:type="dxa"/>
          </w:tcPr>
          <w:p w:rsidR="001D738B" w:rsidRDefault="001D738B" w:rsidP="006345AC">
            <w:r>
              <w:t>Landlords must have a single policy in place for dealing with complaints covered by this Code. Residents must not be treated differently if they complain.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p>
        </w:tc>
        <w:tc>
          <w:tcPr>
            <w:tcW w:w="4881" w:type="dxa"/>
          </w:tcPr>
          <w:p w:rsidR="001D738B" w:rsidRPr="00442574" w:rsidRDefault="001D738B" w:rsidP="006345AC">
            <w:pPr>
              <w:rPr>
                <w:lang w:val="en-US"/>
              </w:rPr>
            </w:pPr>
          </w:p>
        </w:tc>
      </w:tr>
      <w:tr w:rsidR="001D738B" w:rsidTr="006345AC">
        <w:tc>
          <w:tcPr>
            <w:tcW w:w="1129" w:type="dxa"/>
          </w:tcPr>
          <w:p w:rsidR="001D738B" w:rsidRDefault="001D738B" w:rsidP="006345AC">
            <w:pPr>
              <w:rPr>
                <w:lang w:val="en-US"/>
              </w:rPr>
            </w:pPr>
            <w:r>
              <w:rPr>
                <w:lang w:val="en-US"/>
              </w:rPr>
              <w:t>5.2</w:t>
            </w:r>
          </w:p>
        </w:tc>
        <w:tc>
          <w:tcPr>
            <w:tcW w:w="4449" w:type="dxa"/>
          </w:tcPr>
          <w:p w:rsidR="001D738B" w:rsidRDefault="001D738B" w:rsidP="006345AC">
            <w:r>
              <w:t>The early and local resolution of issues between landlords and residents is key to effective complaint handling. It is not appropriate to have extra named stages (such as ‘stage 0’ or ‘informal complaint’) as this causes unnecessary confusion.</w:t>
            </w:r>
          </w:p>
        </w:tc>
        <w:tc>
          <w:tcPr>
            <w:tcW w:w="1080" w:type="dxa"/>
          </w:tcPr>
          <w:p w:rsidR="001D738B" w:rsidRDefault="001D738B" w:rsidP="006345AC">
            <w:pPr>
              <w:rPr>
                <w:lang w:val="en-US"/>
              </w:rPr>
            </w:pPr>
            <w:r>
              <w:rPr>
                <w:lang w:val="en-US"/>
              </w:rPr>
              <w:t>Y</w:t>
            </w:r>
          </w:p>
        </w:tc>
        <w:tc>
          <w:tcPr>
            <w:tcW w:w="2409" w:type="dxa"/>
            <w:shd w:val="clear" w:color="auto" w:fill="FFFFFF" w:themeFill="background1"/>
          </w:tcPr>
          <w:p w:rsidR="001D738B" w:rsidRDefault="001D738B" w:rsidP="006345AC">
            <w:pPr>
              <w:rPr>
                <w:lang w:val="en-US"/>
              </w:rPr>
            </w:pPr>
            <w:r>
              <w:rPr>
                <w:lang w:val="en-US"/>
              </w:rPr>
              <w:t>Section 9</w:t>
            </w:r>
          </w:p>
        </w:tc>
        <w:tc>
          <w:tcPr>
            <w:tcW w:w="4881" w:type="dxa"/>
            <w:shd w:val="clear" w:color="auto" w:fill="FFFFFF" w:themeFill="background1"/>
          </w:tcPr>
          <w:p w:rsidR="001D738B" w:rsidRPr="00442574" w:rsidRDefault="001D738B" w:rsidP="006345AC">
            <w:pPr>
              <w:rPr>
                <w:lang w:val="en-US"/>
              </w:rPr>
            </w:pPr>
            <w:r w:rsidRPr="00442574">
              <w:rPr>
                <w:lang w:val="en-US"/>
              </w:rPr>
              <w:t>There are only 2 stages to the procedure</w:t>
            </w:r>
          </w:p>
        </w:tc>
      </w:tr>
      <w:tr w:rsidR="001D738B" w:rsidTr="006345AC">
        <w:tc>
          <w:tcPr>
            <w:tcW w:w="1129" w:type="dxa"/>
          </w:tcPr>
          <w:p w:rsidR="001D738B" w:rsidRDefault="001D738B" w:rsidP="006345AC">
            <w:pPr>
              <w:rPr>
                <w:lang w:val="en-US"/>
              </w:rPr>
            </w:pPr>
            <w:r>
              <w:rPr>
                <w:lang w:val="en-US"/>
              </w:rPr>
              <w:t>5.3</w:t>
            </w:r>
          </w:p>
        </w:tc>
        <w:tc>
          <w:tcPr>
            <w:tcW w:w="4449" w:type="dxa"/>
          </w:tcPr>
          <w:p w:rsidR="001D738B" w:rsidRDefault="001D738B" w:rsidP="006345AC">
            <w:r>
              <w:t>A process with more than two stages is not acceptable under any circumstances as this will make the complaint process unduly long and delay access to the Ombudsman.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w:t>
            </w:r>
          </w:p>
        </w:tc>
        <w:tc>
          <w:tcPr>
            <w:tcW w:w="4881" w:type="dxa"/>
          </w:tcPr>
          <w:p w:rsidR="001D738B" w:rsidRDefault="001D738B" w:rsidP="006345AC">
            <w:pPr>
              <w:rPr>
                <w:highlight w:val="red"/>
                <w:lang w:val="en-US"/>
              </w:rPr>
            </w:pPr>
            <w:r w:rsidRPr="00442574">
              <w:rPr>
                <w:lang w:val="en-US"/>
              </w:rPr>
              <w:t>There are only 2 stages to the procedure</w:t>
            </w:r>
          </w:p>
        </w:tc>
      </w:tr>
      <w:tr w:rsidR="001D738B" w:rsidTr="006345AC">
        <w:tc>
          <w:tcPr>
            <w:tcW w:w="1129" w:type="dxa"/>
          </w:tcPr>
          <w:p w:rsidR="001D738B" w:rsidRDefault="001D738B" w:rsidP="006345AC">
            <w:pPr>
              <w:rPr>
                <w:lang w:val="en-US"/>
              </w:rPr>
            </w:pPr>
            <w:r>
              <w:rPr>
                <w:lang w:val="en-US"/>
              </w:rPr>
              <w:t>5.4</w:t>
            </w:r>
          </w:p>
        </w:tc>
        <w:tc>
          <w:tcPr>
            <w:tcW w:w="4449" w:type="dxa"/>
          </w:tcPr>
          <w:p w:rsidR="001D738B" w:rsidRDefault="001D738B" w:rsidP="006345AC">
            <w: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 and 10</w:t>
            </w:r>
          </w:p>
        </w:tc>
        <w:tc>
          <w:tcPr>
            <w:tcW w:w="4881" w:type="dxa"/>
          </w:tcPr>
          <w:p w:rsidR="001D738B" w:rsidRDefault="001D738B" w:rsidP="006345AC">
            <w:pPr>
              <w:rPr>
                <w:highlight w:val="red"/>
                <w:lang w:val="en-US"/>
              </w:rPr>
            </w:pPr>
            <w:r w:rsidRPr="00641E02">
              <w:rPr>
                <w:lang w:val="en-US"/>
              </w:rPr>
              <w:t>Where a complaint is being handled in part by a third party (for example a contractor for Strides) Strides continues to conduct the complaint procedure in line with the code, and ensuring the complaining individual is aware of any actions happening externally to handle the complaint.</w:t>
            </w:r>
          </w:p>
        </w:tc>
      </w:tr>
      <w:tr w:rsidR="001D738B" w:rsidTr="006345AC">
        <w:tc>
          <w:tcPr>
            <w:tcW w:w="1129" w:type="dxa"/>
          </w:tcPr>
          <w:p w:rsidR="001D738B" w:rsidRDefault="001D738B" w:rsidP="006345AC">
            <w:pPr>
              <w:rPr>
                <w:lang w:val="en-US"/>
              </w:rPr>
            </w:pPr>
            <w:r>
              <w:rPr>
                <w:lang w:val="en-US"/>
              </w:rPr>
              <w:t>5.5</w:t>
            </w:r>
          </w:p>
        </w:tc>
        <w:tc>
          <w:tcPr>
            <w:tcW w:w="4449" w:type="dxa"/>
          </w:tcPr>
          <w:p w:rsidR="001D738B" w:rsidRDefault="001D738B" w:rsidP="006345AC">
            <w:r>
              <w:t>Landlords are responsible for ensuring that any third parties handle complaints in line with the Code.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 and 10</w:t>
            </w:r>
          </w:p>
        </w:tc>
        <w:tc>
          <w:tcPr>
            <w:tcW w:w="4881" w:type="dxa"/>
          </w:tcPr>
          <w:p w:rsidR="001D738B" w:rsidRDefault="001D738B" w:rsidP="006345AC">
            <w:pPr>
              <w:rPr>
                <w:highlight w:val="red"/>
                <w:lang w:val="en-US"/>
              </w:rPr>
            </w:pPr>
            <w:r w:rsidRPr="009A75F8">
              <w:rPr>
                <w:shd w:val="clear" w:color="auto" w:fill="FFFFFF" w:themeFill="background1"/>
                <w:lang w:val="en-US"/>
              </w:rPr>
              <w:t>Service managers and Complaint Officer ensure that any third parties involved in handling a complaint are doing so in line with the code as set out in Strides Complaints Policy</w:t>
            </w:r>
          </w:p>
        </w:tc>
      </w:tr>
      <w:tr w:rsidR="001D738B" w:rsidTr="006345AC">
        <w:tc>
          <w:tcPr>
            <w:tcW w:w="1129" w:type="dxa"/>
          </w:tcPr>
          <w:p w:rsidR="001D738B" w:rsidRDefault="001D738B" w:rsidP="006345AC">
            <w:pPr>
              <w:rPr>
                <w:lang w:val="en-US"/>
              </w:rPr>
            </w:pPr>
            <w:r>
              <w:rPr>
                <w:lang w:val="en-US"/>
              </w:rPr>
              <w:t>5.6</w:t>
            </w:r>
          </w:p>
        </w:tc>
        <w:tc>
          <w:tcPr>
            <w:tcW w:w="4449" w:type="dxa"/>
          </w:tcPr>
          <w:p w:rsidR="001D738B" w:rsidRDefault="001D738B" w:rsidP="006345AC">
            <w: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5.7</w:t>
            </w:r>
          </w:p>
        </w:tc>
        <w:tc>
          <w:tcPr>
            <w:tcW w:w="4449" w:type="dxa"/>
          </w:tcPr>
          <w:p w:rsidR="001D738B" w:rsidRDefault="001D738B" w:rsidP="006345AC">
            <w:r>
              <w:t>When a complaint is acknowledged at either stage, landlords must be clear which aspects of the complaint they are, and are not, responsible for and clarify any areas where this is not clear.</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5.8</w:t>
            </w:r>
          </w:p>
        </w:tc>
        <w:tc>
          <w:tcPr>
            <w:tcW w:w="4449" w:type="dxa"/>
          </w:tcPr>
          <w:p w:rsidR="001D738B" w:rsidRDefault="001D738B" w:rsidP="006345AC">
            <w:r>
              <w:t xml:space="preserve">At each stage of the complaints process, complaint handlers must: a. deal with complaints on their merits, act independently, and have an open mind; b. give the resident a fair chance to set out their position; c. take measures to address any actual or perceived conflict of interest; and </w:t>
            </w:r>
          </w:p>
          <w:p w:rsidR="001D738B" w:rsidRDefault="001D738B" w:rsidP="006345AC">
            <w:proofErr w:type="gramStart"/>
            <w:r>
              <w:t>d</w:t>
            </w:r>
            <w:proofErr w:type="gramEnd"/>
            <w:r>
              <w:t>. consider all relevant information and evidence carefully.</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5.9</w:t>
            </w:r>
          </w:p>
        </w:tc>
        <w:tc>
          <w:tcPr>
            <w:tcW w:w="4449" w:type="dxa"/>
          </w:tcPr>
          <w:p w:rsidR="001D738B" w:rsidRDefault="001D738B" w:rsidP="006345AC">
            <w:r>
              <w:t>Where a response to a complaint will fall outside the timescales set out in this Code, the landlord must agree with the resident suitable intervals for keeping them informed about their complaint.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5.10</w:t>
            </w:r>
          </w:p>
        </w:tc>
        <w:tc>
          <w:tcPr>
            <w:tcW w:w="4449" w:type="dxa"/>
          </w:tcPr>
          <w:p w:rsidR="001D738B" w:rsidRDefault="001D738B" w:rsidP="006345AC">
            <w: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Sections 2, 7, 14</w:t>
            </w:r>
          </w:p>
        </w:tc>
        <w:tc>
          <w:tcPr>
            <w:tcW w:w="4881" w:type="dxa"/>
          </w:tcPr>
          <w:p w:rsidR="001D738B" w:rsidRDefault="001D738B" w:rsidP="006345AC">
            <w:pPr>
              <w:rPr>
                <w:highlight w:val="red"/>
                <w:lang w:val="en-US"/>
              </w:rPr>
            </w:pPr>
            <w:r>
              <w:t xml:space="preserve">Landlord will make reasonable adjustments for residents where appropriate, judging on a case-by-case basis. This assessment and any agreed adjustments will be recorded on the </w:t>
            </w:r>
            <w:proofErr w:type="spellStart"/>
            <w:r>
              <w:t>InForm</w:t>
            </w:r>
            <w:proofErr w:type="spellEnd"/>
            <w:r>
              <w:t xml:space="preserve"> Client Record Management System.</w:t>
            </w:r>
          </w:p>
        </w:tc>
      </w:tr>
      <w:tr w:rsidR="001D738B" w:rsidTr="006345AC">
        <w:tc>
          <w:tcPr>
            <w:tcW w:w="1129" w:type="dxa"/>
          </w:tcPr>
          <w:p w:rsidR="001D738B" w:rsidRDefault="001D738B" w:rsidP="006345AC">
            <w:pPr>
              <w:rPr>
                <w:lang w:val="en-US"/>
              </w:rPr>
            </w:pPr>
            <w:r>
              <w:rPr>
                <w:lang w:val="en-US"/>
              </w:rPr>
              <w:t>5.11</w:t>
            </w:r>
          </w:p>
        </w:tc>
        <w:tc>
          <w:tcPr>
            <w:tcW w:w="4449" w:type="dxa"/>
          </w:tcPr>
          <w:p w:rsidR="001D738B" w:rsidRDefault="001D738B" w:rsidP="006345AC">
            <w:r>
              <w:t>Landlords must not refuse to escalate a complaint through all stages of the complaints procedure unless it has valid reasons to do so. Landlords must clearly set out these reasons, and they must comply with the provisions set out in section 2 of this Code.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 and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5.12</w:t>
            </w:r>
          </w:p>
        </w:tc>
        <w:tc>
          <w:tcPr>
            <w:tcW w:w="4449" w:type="dxa"/>
          </w:tcPr>
          <w:p w:rsidR="001D738B" w:rsidRDefault="001D738B" w:rsidP="006345AC">
            <w: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w:t>
            </w:r>
          </w:p>
        </w:tc>
        <w:tc>
          <w:tcPr>
            <w:tcW w:w="4881" w:type="dxa"/>
          </w:tcPr>
          <w:p w:rsidR="001D738B" w:rsidRDefault="001D738B" w:rsidP="006345AC">
            <w:pPr>
              <w:rPr>
                <w:highlight w:val="red"/>
                <w:lang w:val="en-US"/>
              </w:rPr>
            </w:pPr>
            <w:r w:rsidRPr="00E24CCA">
              <w:rPr>
                <w:lang w:val="en-US"/>
              </w:rPr>
              <w:t>Records of all complaints, correspondence, actions and outcomes are recorded on Inform Client Record Management System</w:t>
            </w:r>
          </w:p>
        </w:tc>
      </w:tr>
      <w:tr w:rsidR="001D738B" w:rsidTr="006345AC">
        <w:tc>
          <w:tcPr>
            <w:tcW w:w="1129" w:type="dxa"/>
          </w:tcPr>
          <w:p w:rsidR="001D738B" w:rsidRDefault="001D738B" w:rsidP="006345AC">
            <w:pPr>
              <w:rPr>
                <w:lang w:val="en-US"/>
              </w:rPr>
            </w:pPr>
            <w:r>
              <w:rPr>
                <w:lang w:val="en-US"/>
              </w:rPr>
              <w:t>5.13</w:t>
            </w:r>
          </w:p>
        </w:tc>
        <w:tc>
          <w:tcPr>
            <w:tcW w:w="4449" w:type="dxa"/>
          </w:tcPr>
          <w:p w:rsidR="001D738B" w:rsidRDefault="001D738B" w:rsidP="006345AC">
            <w:r>
              <w:t>Landlords must have processes in place to ensure a complaint can be remedied at any stage of its complaints process. Landlords must ensure appropriate remedies can be provided at any stage of the complaints process without the need for escalation.</w:t>
            </w:r>
          </w:p>
        </w:tc>
        <w:tc>
          <w:tcPr>
            <w:tcW w:w="1080" w:type="dxa"/>
          </w:tcPr>
          <w:p w:rsidR="001D738B" w:rsidRDefault="001D738B" w:rsidP="006345AC">
            <w:pPr>
              <w:rPr>
                <w:lang w:val="en-US"/>
              </w:rPr>
            </w:pPr>
            <w:r>
              <w:rPr>
                <w:lang w:val="en-US"/>
              </w:rPr>
              <w:t>Y</w:t>
            </w:r>
          </w:p>
        </w:tc>
        <w:tc>
          <w:tcPr>
            <w:tcW w:w="2409" w:type="dxa"/>
          </w:tcPr>
          <w:p w:rsidR="001D738B" w:rsidRPr="00E24CCA" w:rsidRDefault="001D738B" w:rsidP="006345AC">
            <w:pPr>
              <w:rPr>
                <w:lang w:val="en-US"/>
              </w:rPr>
            </w:pPr>
          </w:p>
        </w:tc>
        <w:tc>
          <w:tcPr>
            <w:tcW w:w="4881" w:type="dxa"/>
          </w:tcPr>
          <w:p w:rsidR="001D738B" w:rsidRPr="00E24CCA" w:rsidRDefault="001D738B" w:rsidP="006345AC">
            <w:pPr>
              <w:rPr>
                <w:rFonts w:cs="Arial"/>
              </w:rPr>
            </w:pPr>
            <w:r w:rsidRPr="00E24CCA">
              <w:rPr>
                <w:rFonts w:cs="Arial"/>
              </w:rPr>
              <w:t>Strides policy requires that a complaint should be remedied at any stage of its complaints process (at the earliest moment possible) without the need for escalation.</w:t>
            </w:r>
          </w:p>
          <w:p w:rsidR="001D738B" w:rsidRPr="00E24CCA"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5.14</w:t>
            </w:r>
          </w:p>
        </w:tc>
        <w:tc>
          <w:tcPr>
            <w:tcW w:w="4449" w:type="dxa"/>
          </w:tcPr>
          <w:p w:rsidR="001D738B" w:rsidRDefault="001D738B" w:rsidP="006345AC">
            <w: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080" w:type="dxa"/>
            <w:shd w:val="clear" w:color="auto" w:fill="FFFFFF" w:themeFill="background1"/>
          </w:tcPr>
          <w:p w:rsidR="001D738B" w:rsidRDefault="001D738B" w:rsidP="006345AC">
            <w:pPr>
              <w:rPr>
                <w:lang w:val="en-US"/>
              </w:rPr>
            </w:pPr>
            <w:r>
              <w:rPr>
                <w:lang w:val="en-US"/>
              </w:rPr>
              <w:t>Y</w:t>
            </w:r>
          </w:p>
        </w:tc>
        <w:tc>
          <w:tcPr>
            <w:tcW w:w="2409" w:type="dxa"/>
            <w:shd w:val="clear" w:color="auto" w:fill="FFFFFF" w:themeFill="background1"/>
          </w:tcPr>
          <w:p w:rsidR="001D738B" w:rsidRDefault="001D738B" w:rsidP="006345AC">
            <w:pPr>
              <w:rPr>
                <w:lang w:val="en-US"/>
              </w:rPr>
            </w:pPr>
          </w:p>
        </w:tc>
        <w:tc>
          <w:tcPr>
            <w:tcW w:w="4881" w:type="dxa"/>
            <w:shd w:val="clear" w:color="auto" w:fill="FFFFFF" w:themeFill="background1"/>
          </w:tcPr>
          <w:p w:rsidR="001D738B" w:rsidRDefault="001D738B" w:rsidP="006345AC">
            <w:pPr>
              <w:rPr>
                <w:highlight w:val="red"/>
                <w:lang w:val="en-US"/>
              </w:rPr>
            </w:pPr>
            <w:r>
              <w:t xml:space="preserve">Strides has a code of conduct and an unacceptable behaviour policy which help identify where restrictions might be put in place, as well as how to manage and review any restrictions. </w:t>
            </w:r>
          </w:p>
        </w:tc>
      </w:tr>
      <w:tr w:rsidR="001D738B" w:rsidTr="006345AC">
        <w:tc>
          <w:tcPr>
            <w:tcW w:w="1129" w:type="dxa"/>
          </w:tcPr>
          <w:p w:rsidR="001D738B" w:rsidRDefault="001D738B" w:rsidP="006345AC">
            <w:pPr>
              <w:rPr>
                <w:lang w:val="en-US"/>
              </w:rPr>
            </w:pPr>
            <w:r>
              <w:rPr>
                <w:lang w:val="en-US"/>
              </w:rPr>
              <w:t>5.15</w:t>
            </w:r>
          </w:p>
        </w:tc>
        <w:tc>
          <w:tcPr>
            <w:tcW w:w="4449" w:type="dxa"/>
          </w:tcPr>
          <w:p w:rsidR="001D738B" w:rsidRDefault="001D738B" w:rsidP="006345AC">
            <w:r>
              <w:t>Any restrictions placed on contact due to unacceptable behaviour must be proportionate and demonstrate regard for the provisions of the Equality Act 2010.</w:t>
            </w:r>
          </w:p>
        </w:tc>
        <w:tc>
          <w:tcPr>
            <w:tcW w:w="1080" w:type="dxa"/>
            <w:shd w:val="clear" w:color="auto" w:fill="FFFFFF" w:themeFill="background1"/>
          </w:tcPr>
          <w:p w:rsidR="001D738B" w:rsidRDefault="001D738B" w:rsidP="006345AC">
            <w:pPr>
              <w:rPr>
                <w:lang w:val="en-US"/>
              </w:rPr>
            </w:pPr>
            <w:r>
              <w:rPr>
                <w:lang w:val="en-US"/>
              </w:rPr>
              <w:t>Y</w:t>
            </w:r>
          </w:p>
        </w:tc>
        <w:tc>
          <w:tcPr>
            <w:tcW w:w="2409" w:type="dxa"/>
            <w:shd w:val="clear" w:color="auto" w:fill="FFFFFF" w:themeFill="background1"/>
          </w:tcPr>
          <w:p w:rsidR="001D738B" w:rsidRDefault="001D738B" w:rsidP="006345AC">
            <w:pPr>
              <w:rPr>
                <w:lang w:val="en-US"/>
              </w:rPr>
            </w:pPr>
          </w:p>
        </w:tc>
        <w:tc>
          <w:tcPr>
            <w:tcW w:w="4881" w:type="dxa"/>
            <w:shd w:val="clear" w:color="auto" w:fill="FFFFFF" w:themeFill="background1"/>
          </w:tcPr>
          <w:p w:rsidR="001D738B" w:rsidRPr="005855B3" w:rsidRDefault="001D738B" w:rsidP="006345AC">
            <w:pPr>
              <w:rPr>
                <w:lang w:val="en-US"/>
              </w:rPr>
            </w:pPr>
            <w:r w:rsidRPr="005855B3">
              <w:rPr>
                <w:lang w:val="en-US"/>
              </w:rPr>
              <w:t>The above policy and code of conduct set out how Strides must consider the rights of a resident or representative according to the Equality Act 2010</w:t>
            </w:r>
          </w:p>
        </w:tc>
      </w:tr>
      <w:tr w:rsidR="001D738B" w:rsidTr="006345AC">
        <w:tc>
          <w:tcPr>
            <w:tcW w:w="1129" w:type="dxa"/>
            <w:shd w:val="clear" w:color="auto" w:fill="A6FCFF" w:themeFill="accent1" w:themeFillTint="33"/>
          </w:tcPr>
          <w:p w:rsidR="001D738B" w:rsidRDefault="001D738B" w:rsidP="006345AC">
            <w:pPr>
              <w:rPr>
                <w:lang w:val="en-US"/>
              </w:rPr>
            </w:pPr>
          </w:p>
        </w:tc>
        <w:tc>
          <w:tcPr>
            <w:tcW w:w="4449" w:type="dxa"/>
            <w:shd w:val="clear" w:color="auto" w:fill="A6FCFF" w:themeFill="accent1" w:themeFillTint="33"/>
          </w:tcPr>
          <w:p w:rsidR="001D738B" w:rsidRDefault="001D738B" w:rsidP="006345AC">
            <w:r>
              <w:t>Section 6: Complaints Stages</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p>
        </w:tc>
        <w:tc>
          <w:tcPr>
            <w:tcW w:w="4449" w:type="dxa"/>
          </w:tcPr>
          <w:p w:rsidR="001D738B" w:rsidRDefault="001D738B" w:rsidP="006345AC">
            <w:r>
              <w:t>Stage 1</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w:t>
            </w:r>
          </w:p>
        </w:tc>
        <w:tc>
          <w:tcPr>
            <w:tcW w:w="4449" w:type="dxa"/>
          </w:tcPr>
          <w:p w:rsidR="001D738B" w:rsidRDefault="001D738B" w:rsidP="006345AC">
            <w:pPr>
              <w:jc w:val="both"/>
            </w:pPr>
            <w: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w:t>
            </w:r>
          </w:p>
        </w:tc>
        <w:tc>
          <w:tcPr>
            <w:tcW w:w="4881" w:type="dxa"/>
          </w:tcPr>
          <w:p w:rsidR="001D738B" w:rsidRPr="000640D9" w:rsidRDefault="001D738B" w:rsidP="006345AC">
            <w:pPr>
              <w:rPr>
                <w:rFonts w:cs="Arial"/>
              </w:rPr>
            </w:pPr>
            <w:r w:rsidRPr="000640D9">
              <w:rPr>
                <w:rFonts w:cs="Arial"/>
              </w:rPr>
              <w:t>Strides assesses each complaint individually, identifying those that can be responded to immediately, and which require further investigation or actions. The complaint handler assessed factors such as the complexity of the complaint and whether the resident is vulnerable or at risk in order to decide how quickly to act. Most stage 1 complaints can be resolved promptly, and an explanation, apology or resolution provided to the resident.</w:t>
            </w:r>
          </w:p>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6.2</w:t>
            </w:r>
          </w:p>
        </w:tc>
        <w:tc>
          <w:tcPr>
            <w:tcW w:w="4449" w:type="dxa"/>
          </w:tcPr>
          <w:p w:rsidR="001D738B" w:rsidRDefault="001D738B" w:rsidP="006345AC">
            <w:r>
              <w:t>Complaints must be acknowledged, defined and logged at stage 1 of the complaints procedure within five working days of the complaint being received.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6.3</w:t>
            </w:r>
          </w:p>
        </w:tc>
        <w:tc>
          <w:tcPr>
            <w:tcW w:w="4449" w:type="dxa"/>
          </w:tcPr>
          <w:p w:rsidR="001D738B" w:rsidRDefault="001D738B" w:rsidP="006345AC">
            <w:r>
              <w:t>Landlords must issue a full response to stage 1 complaints within 10 working days of the complaint being acknowledged.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6.4</w:t>
            </w:r>
          </w:p>
        </w:tc>
        <w:tc>
          <w:tcPr>
            <w:tcW w:w="4449" w:type="dxa"/>
          </w:tcPr>
          <w:p w:rsidR="001D738B" w:rsidRDefault="001D738B" w:rsidP="006345AC">
            <w: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6.5</w:t>
            </w:r>
          </w:p>
        </w:tc>
        <w:tc>
          <w:tcPr>
            <w:tcW w:w="4449" w:type="dxa"/>
          </w:tcPr>
          <w:p w:rsidR="001D738B" w:rsidRDefault="001D738B" w:rsidP="006345AC">
            <w:r>
              <w:t>When an organisation informs a resident about an extension to these timescales, they must be provided with the contact details of the Ombudsman.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6.6</w:t>
            </w:r>
          </w:p>
        </w:tc>
        <w:tc>
          <w:tcPr>
            <w:tcW w:w="4449" w:type="dxa"/>
          </w:tcPr>
          <w:p w:rsidR="001D738B" w:rsidRDefault="001D738B" w:rsidP="006345AC">
            <w: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6.7</w:t>
            </w:r>
          </w:p>
        </w:tc>
        <w:tc>
          <w:tcPr>
            <w:tcW w:w="4449" w:type="dxa"/>
          </w:tcPr>
          <w:p w:rsidR="001D738B" w:rsidRDefault="001D738B" w:rsidP="006345AC">
            <w:r>
              <w:t>Landlords must address all points raised in the complaint definition and provide clear reasons for any decisions, referencing the relevant policy, law and good practice where appropriate.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Sections 10 and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6.8</w:t>
            </w:r>
          </w:p>
        </w:tc>
        <w:tc>
          <w:tcPr>
            <w:tcW w:w="4449" w:type="dxa"/>
          </w:tcPr>
          <w:p w:rsidR="001D738B" w:rsidRDefault="001D738B" w:rsidP="006345AC">
            <w: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10</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6.9</w:t>
            </w:r>
          </w:p>
        </w:tc>
        <w:tc>
          <w:tcPr>
            <w:tcW w:w="4449" w:type="dxa"/>
          </w:tcPr>
          <w:p w:rsidR="001D738B" w:rsidRDefault="001D738B" w:rsidP="006345AC">
            <w:r>
              <w:t>Landlords must confirm the following in writing to the resident at the completion of stage 1 in clear, plain language: a. the complaint stage; b. the complaint definition; c. the decision on the complaint; d. the reasons for any decisions made; e. the details of any remedy offered to put things right; f. details of any outstanding actions; and g. details of how to escalate the matter to stage 2 if the individual is not satisfied with the response.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 xml:space="preserve">Section 10 </w:t>
            </w:r>
          </w:p>
        </w:tc>
        <w:tc>
          <w:tcPr>
            <w:tcW w:w="4881" w:type="dxa"/>
          </w:tcPr>
          <w:p w:rsidR="001D738B" w:rsidRDefault="001D738B" w:rsidP="006345AC">
            <w:pPr>
              <w:rPr>
                <w:highlight w:val="red"/>
                <w:lang w:val="en-US"/>
              </w:rPr>
            </w:pPr>
          </w:p>
        </w:tc>
      </w:tr>
      <w:tr w:rsidR="001D738B" w:rsidTr="006345AC">
        <w:tc>
          <w:tcPr>
            <w:tcW w:w="1129" w:type="dxa"/>
            <w:shd w:val="clear" w:color="auto" w:fill="A6FCFF" w:themeFill="accent1" w:themeFillTint="33"/>
          </w:tcPr>
          <w:p w:rsidR="001D738B" w:rsidRDefault="001D738B" w:rsidP="006345AC">
            <w:pPr>
              <w:rPr>
                <w:lang w:val="en-US"/>
              </w:rPr>
            </w:pPr>
          </w:p>
        </w:tc>
        <w:tc>
          <w:tcPr>
            <w:tcW w:w="4449" w:type="dxa"/>
            <w:shd w:val="clear" w:color="auto" w:fill="A6FCFF" w:themeFill="accent1" w:themeFillTint="33"/>
          </w:tcPr>
          <w:p w:rsidR="001D738B" w:rsidRDefault="001D738B" w:rsidP="006345AC">
            <w:r>
              <w:t>Stage 2</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6.10</w:t>
            </w:r>
          </w:p>
        </w:tc>
        <w:tc>
          <w:tcPr>
            <w:tcW w:w="4449" w:type="dxa"/>
          </w:tcPr>
          <w:p w:rsidR="001D738B" w:rsidRDefault="001D738B" w:rsidP="006345AC">
            <w:r>
              <w:t>If all or part of the complaint is not resolved to the resident’s satisfaction at stage 1, it must be progressed to stage 2 of the landlord’s procedure. Stage 2 is the landlord’s final response.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6.11</w:t>
            </w:r>
          </w:p>
        </w:tc>
        <w:tc>
          <w:tcPr>
            <w:tcW w:w="4449" w:type="dxa"/>
          </w:tcPr>
          <w:p w:rsidR="001D738B" w:rsidRDefault="001D738B" w:rsidP="006345AC">
            <w:r>
              <w:t>Requests for stage 2 must be acknowledged, defined and logged at stage 2 of the complaints procedure within five working days of the escalation request being received.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6.12</w:t>
            </w:r>
          </w:p>
        </w:tc>
        <w:tc>
          <w:tcPr>
            <w:tcW w:w="4449" w:type="dxa"/>
          </w:tcPr>
          <w:p w:rsidR="001D738B" w:rsidRDefault="001D738B" w:rsidP="006345AC">
            <w:r>
              <w:t>Residents must not be required to explain their reasons for requesting a stage 2 consideration. Landlords are expected to make reasonable efforts to understand why a resident remains unhappy as part of its stage 2 response.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6.13</w:t>
            </w:r>
          </w:p>
        </w:tc>
        <w:tc>
          <w:tcPr>
            <w:tcW w:w="4449" w:type="dxa"/>
          </w:tcPr>
          <w:p w:rsidR="001D738B" w:rsidRDefault="001D738B" w:rsidP="006345AC">
            <w:r>
              <w:t>The person considering the complaint at stage 2 must not be the same person that considered the complaint at stage 1.</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r w:rsidRPr="005D492F">
              <w:rPr>
                <w:lang w:val="en-US"/>
              </w:rPr>
              <w:t>Service manager will consider the complaint at stage 1, while head of Community will consider stage 2</w:t>
            </w:r>
          </w:p>
        </w:tc>
      </w:tr>
      <w:tr w:rsidR="001D738B" w:rsidTr="006345AC">
        <w:tc>
          <w:tcPr>
            <w:tcW w:w="1129" w:type="dxa"/>
          </w:tcPr>
          <w:p w:rsidR="001D738B" w:rsidRDefault="001D738B" w:rsidP="006345AC">
            <w:pPr>
              <w:rPr>
                <w:lang w:val="en-US"/>
              </w:rPr>
            </w:pPr>
            <w:r>
              <w:rPr>
                <w:lang w:val="en-US"/>
              </w:rPr>
              <w:t>6.14</w:t>
            </w:r>
          </w:p>
        </w:tc>
        <w:tc>
          <w:tcPr>
            <w:tcW w:w="4449" w:type="dxa"/>
          </w:tcPr>
          <w:p w:rsidR="001D738B" w:rsidRDefault="001D738B" w:rsidP="006345AC">
            <w:r>
              <w:t>Landlords must issue a final response to the stage 2 within 20 working days of the complaint being acknowledged.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6.15</w:t>
            </w:r>
          </w:p>
        </w:tc>
        <w:tc>
          <w:tcPr>
            <w:tcW w:w="4449" w:type="dxa"/>
          </w:tcPr>
          <w:p w:rsidR="001D738B" w:rsidRDefault="001D738B" w:rsidP="006345AC">
            <w: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6.16</w:t>
            </w:r>
          </w:p>
        </w:tc>
        <w:tc>
          <w:tcPr>
            <w:tcW w:w="4449" w:type="dxa"/>
          </w:tcPr>
          <w:p w:rsidR="001D738B" w:rsidRDefault="001D738B" w:rsidP="006345AC">
            <w:r>
              <w:t>When an organisation informs a resident about an extension to these timescales, they must be provided with the contact details of the Ombudsman.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6.17</w:t>
            </w:r>
          </w:p>
        </w:tc>
        <w:tc>
          <w:tcPr>
            <w:tcW w:w="4449" w:type="dxa"/>
          </w:tcPr>
          <w:p w:rsidR="001D738B" w:rsidRDefault="001D738B" w:rsidP="006345AC">
            <w: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6.18</w:t>
            </w:r>
          </w:p>
        </w:tc>
        <w:tc>
          <w:tcPr>
            <w:tcW w:w="4449" w:type="dxa"/>
          </w:tcPr>
          <w:p w:rsidR="001D738B" w:rsidRDefault="001D738B" w:rsidP="006345AC">
            <w:r>
              <w:t>Landlords must address all points raised in the complaint definition and provide clear reasons for any decisions, referencing the relevant policy, law and good practice where appropriate.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6.19</w:t>
            </w:r>
          </w:p>
        </w:tc>
        <w:tc>
          <w:tcPr>
            <w:tcW w:w="4449" w:type="dxa"/>
          </w:tcPr>
          <w:p w:rsidR="001D738B" w:rsidRDefault="001D738B" w:rsidP="006345AC">
            <w:r>
              <w:t>Landlords must confirm the following in writing to the resident at the completion of stage 2 in clear, plain language: a. the complaint stage; b. the complaint definition; c. the decision on the complaint; d. the reasons for any decisions made; e. the details of any remedy offered to put things right; f. details of any outstanding actions; and g. details of how to escalate the matter to the Ombudsman Service if the individual remains dissatisfied.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11</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6.20</w:t>
            </w:r>
          </w:p>
        </w:tc>
        <w:tc>
          <w:tcPr>
            <w:tcW w:w="4449" w:type="dxa"/>
          </w:tcPr>
          <w:p w:rsidR="001D738B" w:rsidRDefault="001D738B" w:rsidP="006345AC">
            <w:r>
              <w:t>Stage 2 is the landlord’s final response and must involve all suitable staff members needed to issue such a response.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 and 11</w:t>
            </w:r>
          </w:p>
        </w:tc>
        <w:tc>
          <w:tcPr>
            <w:tcW w:w="4881" w:type="dxa"/>
          </w:tcPr>
          <w:p w:rsidR="001D738B" w:rsidRDefault="001D738B" w:rsidP="006345AC">
            <w:pPr>
              <w:rPr>
                <w:highlight w:val="red"/>
                <w:lang w:val="en-US"/>
              </w:rPr>
            </w:pPr>
          </w:p>
        </w:tc>
      </w:tr>
      <w:tr w:rsidR="001D738B" w:rsidTr="006345AC">
        <w:tc>
          <w:tcPr>
            <w:tcW w:w="1129" w:type="dxa"/>
            <w:shd w:val="clear" w:color="auto" w:fill="A6FCFF" w:themeFill="accent1" w:themeFillTint="33"/>
          </w:tcPr>
          <w:p w:rsidR="001D738B" w:rsidRDefault="001D738B" w:rsidP="006345AC">
            <w:pPr>
              <w:rPr>
                <w:lang w:val="en-US"/>
              </w:rPr>
            </w:pPr>
          </w:p>
        </w:tc>
        <w:tc>
          <w:tcPr>
            <w:tcW w:w="4449" w:type="dxa"/>
            <w:shd w:val="clear" w:color="auto" w:fill="A6FCFF" w:themeFill="accent1" w:themeFillTint="33"/>
          </w:tcPr>
          <w:p w:rsidR="001D738B" w:rsidRDefault="001D738B" w:rsidP="006345AC">
            <w:r>
              <w:t>Section 7: Putting things right</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7.1</w:t>
            </w:r>
          </w:p>
        </w:tc>
        <w:tc>
          <w:tcPr>
            <w:tcW w:w="4449" w:type="dxa"/>
          </w:tcPr>
          <w:p w:rsidR="001D738B" w:rsidRDefault="001D738B" w:rsidP="006345AC">
            <w:r>
              <w:t>Where something has gone wrong a landlord must acknowledge this and set out the actions it has already taken, or intends to take, to put things right. These can include: • Apologising; • Acknowledging where things have gone wrong; • Providing an explanation, assistance or reasons; • Taking action if there has been delay; • Reconsidering or changing a decision; • Amending a record or adding a correction or addendum; • Providing a financial remedy; • Changing policies, procedures or practices.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9</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7.2</w:t>
            </w:r>
          </w:p>
        </w:tc>
        <w:tc>
          <w:tcPr>
            <w:tcW w:w="4449" w:type="dxa"/>
          </w:tcPr>
          <w:p w:rsidR="001D738B" w:rsidRDefault="001D738B" w:rsidP="006345AC">
            <w:r>
              <w:t>Any remedy offered must reflect the impact on the resident as a result of any fault identified.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The Strides policy as pertaining to compensation is to assess on a case by case basis and in accordance with the Ombudsman guidance</w:t>
            </w:r>
          </w:p>
        </w:tc>
      </w:tr>
      <w:tr w:rsidR="001D738B" w:rsidTr="006345AC">
        <w:tc>
          <w:tcPr>
            <w:tcW w:w="1129" w:type="dxa"/>
          </w:tcPr>
          <w:p w:rsidR="001D738B" w:rsidRDefault="001D738B" w:rsidP="006345AC">
            <w:pPr>
              <w:rPr>
                <w:lang w:val="en-US"/>
              </w:rPr>
            </w:pPr>
            <w:r>
              <w:rPr>
                <w:lang w:val="en-US"/>
              </w:rPr>
              <w:t>7.3</w:t>
            </w:r>
          </w:p>
        </w:tc>
        <w:tc>
          <w:tcPr>
            <w:tcW w:w="4449" w:type="dxa"/>
          </w:tcPr>
          <w:p w:rsidR="001D738B" w:rsidRDefault="001D738B" w:rsidP="006345AC">
            <w:r>
              <w:t>The remedy offer must clearly set out what will happen and by when, in agreement with the resident where appropriate. Any remedy proposed must be followed through to completion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 xml:space="preserve">Remedies are recorded on Inform, residents are informed and the remedy is discussed with resident where necessary, and always followed through. </w:t>
            </w:r>
          </w:p>
        </w:tc>
      </w:tr>
      <w:tr w:rsidR="001D738B" w:rsidTr="006345AC">
        <w:tc>
          <w:tcPr>
            <w:tcW w:w="1129" w:type="dxa"/>
          </w:tcPr>
          <w:p w:rsidR="001D738B" w:rsidRDefault="001D738B" w:rsidP="006345AC">
            <w:pPr>
              <w:rPr>
                <w:lang w:val="en-US"/>
              </w:rPr>
            </w:pPr>
            <w:r>
              <w:rPr>
                <w:lang w:val="en-US"/>
              </w:rPr>
              <w:t>7.4</w:t>
            </w:r>
          </w:p>
        </w:tc>
        <w:tc>
          <w:tcPr>
            <w:tcW w:w="4449" w:type="dxa"/>
          </w:tcPr>
          <w:p w:rsidR="001D738B" w:rsidRDefault="001D738B" w:rsidP="006345AC">
            <w:r>
              <w:t>Landlords must take account of the guidance issued by the Ombudsman when deciding on appropriate remedies.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The Strides policy as pertaining to compensation is to assess on a case by case basis and in accordance with the Ombudsman guidance</w:t>
            </w:r>
          </w:p>
        </w:tc>
      </w:tr>
      <w:tr w:rsidR="001D738B" w:rsidTr="006345AC">
        <w:tc>
          <w:tcPr>
            <w:tcW w:w="1129" w:type="dxa"/>
            <w:shd w:val="clear" w:color="auto" w:fill="A6FCFF" w:themeFill="accent1" w:themeFillTint="33"/>
          </w:tcPr>
          <w:p w:rsidR="001D738B" w:rsidRDefault="001D738B" w:rsidP="006345AC">
            <w:pPr>
              <w:rPr>
                <w:lang w:val="en-US"/>
              </w:rPr>
            </w:pPr>
          </w:p>
        </w:tc>
        <w:tc>
          <w:tcPr>
            <w:tcW w:w="4449" w:type="dxa"/>
            <w:shd w:val="clear" w:color="auto" w:fill="A6FCFF" w:themeFill="accent1" w:themeFillTint="33"/>
          </w:tcPr>
          <w:p w:rsidR="001D738B" w:rsidRDefault="001D738B" w:rsidP="006345AC">
            <w:r>
              <w:t>Section 8: Self-assessment, reporting and compliance</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8.1</w:t>
            </w:r>
          </w:p>
        </w:tc>
        <w:tc>
          <w:tcPr>
            <w:tcW w:w="4449" w:type="dxa"/>
          </w:tcPr>
          <w:p w:rsidR="001D738B" w:rsidRDefault="001D738B" w:rsidP="006345AC">
            <w:r>
              <w:t xml:space="preserve">Landlords must produce an annual complaints performance and service improvement report for scrutiny and challenge, which must include: a. the annual self-assessment against this Code to ensure their complaint handling policy remains in line with its requirements. </w:t>
            </w:r>
            <w:proofErr w:type="gramStart"/>
            <w:r>
              <w:t>b</w:t>
            </w:r>
            <w:proofErr w:type="gramEnd"/>
            <w:r>
              <w:t>. a qualitative and quantitative analysis of the landlord’s complaint handling performance. This must also include a summary of the types of complaints the landlord has refused to accept; c. any findings of non-compliance with this Code by the Ombudsman; d. the service improvements made as a result of the learning from complaints; e. any annual report about the landlord’s performance from the Ombudsman; and f. any other relevant reports or publications produced by the Ombudsman in relation to the work of the landlord.</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 xml:space="preserve">Section 14 </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8.2</w:t>
            </w:r>
          </w:p>
        </w:tc>
        <w:tc>
          <w:tcPr>
            <w:tcW w:w="4449" w:type="dxa"/>
          </w:tcPr>
          <w:p w:rsidR="001D738B" w:rsidRDefault="001D738B" w:rsidP="006345AC">
            <w: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Website</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8.3</w:t>
            </w:r>
          </w:p>
        </w:tc>
        <w:tc>
          <w:tcPr>
            <w:tcW w:w="4449" w:type="dxa"/>
          </w:tcPr>
          <w:p w:rsidR="001D738B" w:rsidRDefault="001D738B" w:rsidP="006345AC">
            <w:r>
              <w:t xml:space="preserve">Landlords must also carry out a </w:t>
            </w:r>
            <w:proofErr w:type="spellStart"/>
            <w:r>
              <w:t>self assessment</w:t>
            </w:r>
            <w:proofErr w:type="spellEnd"/>
            <w:r>
              <w:t xml:space="preserve"> following a significant restructure, merger and/or change in procedures.</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14</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8.4</w:t>
            </w:r>
          </w:p>
        </w:tc>
        <w:tc>
          <w:tcPr>
            <w:tcW w:w="4449" w:type="dxa"/>
          </w:tcPr>
          <w:p w:rsidR="001D738B" w:rsidRDefault="001D738B" w:rsidP="006345AC">
            <w:r>
              <w:t>Landlords may be asked to review and update the self-assessment following an Ombudsman investigation.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14</w:t>
            </w: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8.5</w:t>
            </w:r>
          </w:p>
        </w:tc>
        <w:tc>
          <w:tcPr>
            <w:tcW w:w="4449" w:type="dxa"/>
          </w:tcPr>
          <w:p w:rsidR="001D738B" w:rsidRDefault="001D738B" w:rsidP="006345AC">
            <w:r>
              <w:t xml:space="preserve">If a landlord is unable to comply with the Code due to exceptional circumstances, such as a </w:t>
            </w:r>
            <w:proofErr w:type="spellStart"/>
            <w:r>
              <w:t>cyber incident</w:t>
            </w:r>
            <w:proofErr w:type="spellEnd"/>
            <w:r>
              <w:t>, they must inform the Ombudsman, provide information to residents who may be affected, and publish this on their website Landlords must provide a timescale for returning to compliance with the Code.</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14</w:t>
            </w:r>
          </w:p>
        </w:tc>
        <w:tc>
          <w:tcPr>
            <w:tcW w:w="4881" w:type="dxa"/>
          </w:tcPr>
          <w:p w:rsidR="001D738B" w:rsidRDefault="001D738B" w:rsidP="006345AC">
            <w:pPr>
              <w:rPr>
                <w:highlight w:val="red"/>
                <w:lang w:val="en-US"/>
              </w:rPr>
            </w:pPr>
          </w:p>
        </w:tc>
      </w:tr>
      <w:tr w:rsidR="001D738B" w:rsidTr="006345AC">
        <w:tc>
          <w:tcPr>
            <w:tcW w:w="1129" w:type="dxa"/>
            <w:shd w:val="clear" w:color="auto" w:fill="A6FCFF" w:themeFill="accent1" w:themeFillTint="33"/>
          </w:tcPr>
          <w:p w:rsidR="001D738B" w:rsidRDefault="001D738B" w:rsidP="006345AC">
            <w:pPr>
              <w:rPr>
                <w:lang w:val="en-US"/>
              </w:rPr>
            </w:pPr>
          </w:p>
        </w:tc>
        <w:tc>
          <w:tcPr>
            <w:tcW w:w="4449" w:type="dxa"/>
            <w:shd w:val="clear" w:color="auto" w:fill="A6FCFF" w:themeFill="accent1" w:themeFillTint="33"/>
          </w:tcPr>
          <w:p w:rsidR="001D738B" w:rsidRDefault="001D738B" w:rsidP="006345AC">
            <w:r>
              <w:t>Section 9: Scrutiny &amp; oversight: continuous learning and improvement</w:t>
            </w:r>
          </w:p>
        </w:tc>
        <w:tc>
          <w:tcPr>
            <w:tcW w:w="1080" w:type="dxa"/>
          </w:tcPr>
          <w:p w:rsidR="001D738B" w:rsidRDefault="001D738B" w:rsidP="006345AC">
            <w:pPr>
              <w:rPr>
                <w:lang w:val="en-US"/>
              </w:rPr>
            </w:pPr>
          </w:p>
        </w:tc>
        <w:tc>
          <w:tcPr>
            <w:tcW w:w="2409" w:type="dxa"/>
          </w:tcPr>
          <w:p w:rsidR="001D738B" w:rsidRDefault="001D738B" w:rsidP="006345AC">
            <w:pPr>
              <w:rPr>
                <w:lang w:val="en-US"/>
              </w:rPr>
            </w:pPr>
          </w:p>
        </w:tc>
        <w:tc>
          <w:tcPr>
            <w:tcW w:w="4881" w:type="dxa"/>
          </w:tcPr>
          <w:p w:rsidR="001D738B" w:rsidRDefault="001D738B" w:rsidP="006345AC">
            <w:pPr>
              <w:rPr>
                <w:highlight w:val="red"/>
                <w:lang w:val="en-US"/>
              </w:rPr>
            </w:pPr>
          </w:p>
        </w:tc>
      </w:tr>
      <w:tr w:rsidR="001D738B" w:rsidTr="006345AC">
        <w:tc>
          <w:tcPr>
            <w:tcW w:w="1129" w:type="dxa"/>
          </w:tcPr>
          <w:p w:rsidR="001D738B" w:rsidRDefault="001D738B" w:rsidP="006345AC">
            <w:pPr>
              <w:rPr>
                <w:lang w:val="en-US"/>
              </w:rPr>
            </w:pPr>
            <w:r>
              <w:rPr>
                <w:lang w:val="en-US"/>
              </w:rPr>
              <w:t>9.1</w:t>
            </w:r>
          </w:p>
        </w:tc>
        <w:tc>
          <w:tcPr>
            <w:tcW w:w="4449" w:type="dxa"/>
          </w:tcPr>
          <w:p w:rsidR="001D738B" w:rsidRDefault="001D738B" w:rsidP="006345AC">
            <w:r>
              <w:t>Landlords must look beyond the circumstances of the individual complaint and consider whether service improvements can be made as a result of any learning from the complaint.</w:t>
            </w:r>
          </w:p>
        </w:tc>
        <w:tc>
          <w:tcPr>
            <w:tcW w:w="1080" w:type="dxa"/>
          </w:tcPr>
          <w:p w:rsidR="001D738B" w:rsidRDefault="001D738B" w:rsidP="006345AC">
            <w:pPr>
              <w:rPr>
                <w:lang w:val="en-US"/>
              </w:rPr>
            </w:pPr>
            <w:r>
              <w:rPr>
                <w:lang w:val="en-US"/>
              </w:rPr>
              <w:t>Y</w:t>
            </w:r>
          </w:p>
        </w:tc>
        <w:tc>
          <w:tcPr>
            <w:tcW w:w="2409" w:type="dxa"/>
            <w:shd w:val="clear" w:color="auto" w:fill="auto"/>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 xml:space="preserve">Complaints are discussed on a monthly basis in meetings between Head of Community and Residential Manager in supervisions. Actions relating to service improvement are agreed and followed up in the next month’s meeting. </w:t>
            </w:r>
          </w:p>
        </w:tc>
      </w:tr>
      <w:tr w:rsidR="001D738B" w:rsidTr="006345AC">
        <w:tc>
          <w:tcPr>
            <w:tcW w:w="1129" w:type="dxa"/>
          </w:tcPr>
          <w:p w:rsidR="001D738B" w:rsidRDefault="001D738B" w:rsidP="006345AC">
            <w:pPr>
              <w:rPr>
                <w:lang w:val="en-US"/>
              </w:rPr>
            </w:pPr>
            <w:r>
              <w:rPr>
                <w:lang w:val="en-US"/>
              </w:rPr>
              <w:t>9.2</w:t>
            </w:r>
          </w:p>
        </w:tc>
        <w:tc>
          <w:tcPr>
            <w:tcW w:w="4449" w:type="dxa"/>
          </w:tcPr>
          <w:p w:rsidR="001D738B" w:rsidRDefault="001D738B" w:rsidP="006345AC">
            <w:r>
              <w:t>A positive complaint handling culture is integral to the effectiveness with which landlords resolve disputes. Landlords must use complaints as a source of intelligence to identify issues and introduce positive changes in service delivery.</w:t>
            </w:r>
          </w:p>
        </w:tc>
        <w:tc>
          <w:tcPr>
            <w:tcW w:w="1080" w:type="dxa"/>
          </w:tcPr>
          <w:p w:rsidR="001D738B" w:rsidRDefault="001D738B" w:rsidP="006345AC">
            <w:pPr>
              <w:rPr>
                <w:lang w:val="en-US"/>
              </w:rPr>
            </w:pPr>
            <w:r>
              <w:rPr>
                <w:lang w:val="en-US"/>
              </w:rPr>
              <w:t>Y</w:t>
            </w:r>
          </w:p>
        </w:tc>
        <w:tc>
          <w:tcPr>
            <w:tcW w:w="2409" w:type="dxa"/>
            <w:shd w:val="clear" w:color="auto" w:fill="auto"/>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 xml:space="preserve">Complaints are encouraged actively within the community of residents via emails explaining the process and purpose of complaints both as regular prompts and in response to non-complaint issues being raised. Residents are informed of the impact of their complaints including with regards to improvements being made on a service and/or organisational level. </w:t>
            </w:r>
          </w:p>
        </w:tc>
      </w:tr>
      <w:tr w:rsidR="001D738B" w:rsidTr="006345AC">
        <w:tc>
          <w:tcPr>
            <w:tcW w:w="1129" w:type="dxa"/>
          </w:tcPr>
          <w:p w:rsidR="001D738B" w:rsidRDefault="001D738B" w:rsidP="006345AC">
            <w:pPr>
              <w:rPr>
                <w:lang w:val="en-US"/>
              </w:rPr>
            </w:pPr>
            <w:r>
              <w:rPr>
                <w:lang w:val="en-US"/>
              </w:rPr>
              <w:t>9.3</w:t>
            </w:r>
          </w:p>
        </w:tc>
        <w:tc>
          <w:tcPr>
            <w:tcW w:w="4449" w:type="dxa"/>
          </w:tcPr>
          <w:p w:rsidR="001D738B" w:rsidRDefault="001D738B" w:rsidP="006345AC">
            <w:r>
              <w:t>Accountability and transparency are also integral to a positive complaint handling culture. Landlords must report back on wider learning and improvements from complaints to stakeholders, such as residents’ panels, staff and relevant committees.</w:t>
            </w:r>
          </w:p>
        </w:tc>
        <w:tc>
          <w:tcPr>
            <w:tcW w:w="1080" w:type="dxa"/>
          </w:tcPr>
          <w:p w:rsidR="001D738B" w:rsidRDefault="001D738B" w:rsidP="006345AC">
            <w:pPr>
              <w:rPr>
                <w:lang w:val="en-US"/>
              </w:rPr>
            </w:pPr>
            <w:r>
              <w:rPr>
                <w:lang w:val="en-US"/>
              </w:rPr>
              <w:t>Y</w:t>
            </w:r>
          </w:p>
        </w:tc>
        <w:tc>
          <w:tcPr>
            <w:tcW w:w="2409" w:type="dxa"/>
            <w:shd w:val="clear" w:color="auto" w:fill="auto"/>
          </w:tcPr>
          <w:p w:rsidR="001D738B" w:rsidRDefault="001D738B" w:rsidP="006345AC">
            <w:pPr>
              <w:rPr>
                <w:lang w:val="en-US"/>
              </w:rPr>
            </w:pPr>
            <w:r>
              <w:rPr>
                <w:lang w:val="en-US"/>
              </w:rPr>
              <w:t>How do we do this?</w:t>
            </w:r>
          </w:p>
        </w:tc>
        <w:tc>
          <w:tcPr>
            <w:tcW w:w="4881" w:type="dxa"/>
            <w:shd w:val="clear" w:color="auto" w:fill="auto"/>
          </w:tcPr>
          <w:p w:rsidR="001D738B" w:rsidRDefault="001D738B" w:rsidP="006345AC">
            <w:pPr>
              <w:rPr>
                <w:highlight w:val="red"/>
                <w:lang w:val="en-US"/>
              </w:rPr>
            </w:pPr>
            <w:r>
              <w:t>Resident’s panels occur in relevant services, residential manager updates residents as to improvements and changes resulting from complaints, and Head of Community reports pertinent complaints to the board of trustees.</w:t>
            </w:r>
          </w:p>
        </w:tc>
      </w:tr>
      <w:tr w:rsidR="001D738B" w:rsidTr="006345AC">
        <w:tc>
          <w:tcPr>
            <w:tcW w:w="1129" w:type="dxa"/>
          </w:tcPr>
          <w:p w:rsidR="001D738B" w:rsidRDefault="001D738B" w:rsidP="006345AC">
            <w:pPr>
              <w:rPr>
                <w:lang w:val="en-US"/>
              </w:rPr>
            </w:pPr>
            <w:r>
              <w:rPr>
                <w:lang w:val="en-US"/>
              </w:rPr>
              <w:t>9.4</w:t>
            </w:r>
          </w:p>
        </w:tc>
        <w:tc>
          <w:tcPr>
            <w:tcW w:w="4449" w:type="dxa"/>
          </w:tcPr>
          <w:p w:rsidR="001D738B" w:rsidRDefault="001D738B" w:rsidP="006345AC">
            <w:r>
              <w:t>Landlords must appoint a suitably senior lead person as accountable for their complaint handling. This person must assess any themes or trends to identify potential systemic issues, serious risks, or policies and procedures that require revision.</w:t>
            </w:r>
          </w:p>
        </w:tc>
        <w:tc>
          <w:tcPr>
            <w:tcW w:w="1080" w:type="dxa"/>
          </w:tcPr>
          <w:p w:rsidR="001D738B" w:rsidRDefault="001D738B" w:rsidP="006345AC">
            <w:pPr>
              <w:rPr>
                <w:lang w:val="en-US"/>
              </w:rPr>
            </w:pPr>
            <w:r>
              <w:rPr>
                <w:lang w:val="en-US"/>
              </w:rPr>
              <w:t>Y</w:t>
            </w:r>
          </w:p>
        </w:tc>
        <w:tc>
          <w:tcPr>
            <w:tcW w:w="2409" w:type="dxa"/>
          </w:tcPr>
          <w:p w:rsidR="001D738B" w:rsidRDefault="001D738B" w:rsidP="006345AC">
            <w:pPr>
              <w:rPr>
                <w:lang w:val="en-US"/>
              </w:rPr>
            </w:pPr>
            <w:r>
              <w:rPr>
                <w:lang w:val="en-US"/>
              </w:rPr>
              <w:t>Section 14</w:t>
            </w:r>
          </w:p>
        </w:tc>
        <w:tc>
          <w:tcPr>
            <w:tcW w:w="4881" w:type="dxa"/>
          </w:tcPr>
          <w:p w:rsidR="001D738B" w:rsidRDefault="001D738B" w:rsidP="006345AC">
            <w:pPr>
              <w:rPr>
                <w:highlight w:val="red"/>
                <w:lang w:val="en-US"/>
              </w:rPr>
            </w:pPr>
            <w:r>
              <w:t>Head of Community is delegated as Complaints Officer</w:t>
            </w:r>
          </w:p>
        </w:tc>
      </w:tr>
      <w:tr w:rsidR="001D738B" w:rsidTr="006345AC">
        <w:tc>
          <w:tcPr>
            <w:tcW w:w="1129" w:type="dxa"/>
          </w:tcPr>
          <w:p w:rsidR="001D738B" w:rsidRDefault="001D738B" w:rsidP="006345AC">
            <w:pPr>
              <w:rPr>
                <w:lang w:val="en-US"/>
              </w:rPr>
            </w:pPr>
            <w:r>
              <w:rPr>
                <w:lang w:val="en-US"/>
              </w:rPr>
              <w:t>9.5</w:t>
            </w:r>
          </w:p>
        </w:tc>
        <w:tc>
          <w:tcPr>
            <w:tcW w:w="4449" w:type="dxa"/>
          </w:tcPr>
          <w:p w:rsidR="001D738B" w:rsidRDefault="001D738B" w:rsidP="006345AC">
            <w: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080" w:type="dxa"/>
          </w:tcPr>
          <w:p w:rsidR="001D738B" w:rsidRDefault="001D738B" w:rsidP="006345AC">
            <w:pPr>
              <w:rPr>
                <w:lang w:val="en-US"/>
              </w:rPr>
            </w:pPr>
            <w:r>
              <w:rPr>
                <w:lang w:val="en-US"/>
              </w:rPr>
              <w:t>Y</w:t>
            </w:r>
          </w:p>
        </w:tc>
        <w:tc>
          <w:tcPr>
            <w:tcW w:w="2409" w:type="dxa"/>
            <w:shd w:val="clear" w:color="auto" w:fill="FFFFFF" w:themeFill="background1"/>
          </w:tcPr>
          <w:p w:rsidR="001D738B" w:rsidRDefault="001D738B" w:rsidP="006345AC">
            <w:pPr>
              <w:rPr>
                <w:lang w:val="en-US"/>
              </w:rPr>
            </w:pPr>
          </w:p>
        </w:tc>
        <w:tc>
          <w:tcPr>
            <w:tcW w:w="4881" w:type="dxa"/>
            <w:shd w:val="clear" w:color="auto" w:fill="FFFFFF" w:themeFill="background1"/>
          </w:tcPr>
          <w:p w:rsidR="001D738B" w:rsidRDefault="001D738B" w:rsidP="006345AC">
            <w:pPr>
              <w:rPr>
                <w:highlight w:val="red"/>
                <w:lang w:val="en-US"/>
              </w:rPr>
            </w:pPr>
            <w:r w:rsidRPr="005F4E22">
              <w:rPr>
                <w:lang w:val="en-US"/>
              </w:rPr>
              <w:t>The Head of Community is the MRC, and there is a dedicated complaints lead within the board of trustees.</w:t>
            </w:r>
          </w:p>
        </w:tc>
      </w:tr>
      <w:tr w:rsidR="001D738B" w:rsidTr="006345AC">
        <w:tc>
          <w:tcPr>
            <w:tcW w:w="1129" w:type="dxa"/>
          </w:tcPr>
          <w:p w:rsidR="001D738B" w:rsidRDefault="001D738B" w:rsidP="006345AC">
            <w:pPr>
              <w:rPr>
                <w:lang w:val="en-US"/>
              </w:rPr>
            </w:pPr>
            <w:r>
              <w:rPr>
                <w:lang w:val="en-US"/>
              </w:rPr>
              <w:t>9.6</w:t>
            </w:r>
          </w:p>
        </w:tc>
        <w:tc>
          <w:tcPr>
            <w:tcW w:w="4449" w:type="dxa"/>
          </w:tcPr>
          <w:p w:rsidR="001D738B" w:rsidRDefault="001D738B" w:rsidP="006345AC">
            <w: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080" w:type="dxa"/>
            <w:shd w:val="clear" w:color="auto" w:fill="auto"/>
          </w:tcPr>
          <w:p w:rsidR="001D738B" w:rsidRDefault="001D738B" w:rsidP="006345AC">
            <w:pPr>
              <w:rPr>
                <w:lang w:val="en-US"/>
              </w:rPr>
            </w:pPr>
            <w:r>
              <w:rPr>
                <w:lang w:val="en-US"/>
              </w:rPr>
              <w:t>Y</w:t>
            </w:r>
          </w:p>
        </w:tc>
        <w:tc>
          <w:tcPr>
            <w:tcW w:w="2409" w:type="dxa"/>
            <w:shd w:val="clear" w:color="auto" w:fill="auto"/>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The MRC has oversight of all complaints via Inform, has monthly meetings with all managers with a permanent agenda point of complaints, and brings all high level complaints information to the CEO and the board of trustees.</w:t>
            </w:r>
          </w:p>
        </w:tc>
      </w:tr>
      <w:tr w:rsidR="001D738B" w:rsidTr="006345AC">
        <w:tc>
          <w:tcPr>
            <w:tcW w:w="1129" w:type="dxa"/>
          </w:tcPr>
          <w:p w:rsidR="001D738B" w:rsidRDefault="001D738B" w:rsidP="006345AC">
            <w:pPr>
              <w:rPr>
                <w:lang w:val="en-US"/>
              </w:rPr>
            </w:pPr>
            <w:r>
              <w:rPr>
                <w:lang w:val="en-US"/>
              </w:rPr>
              <w:t>9.7</w:t>
            </w:r>
          </w:p>
        </w:tc>
        <w:tc>
          <w:tcPr>
            <w:tcW w:w="4449" w:type="dxa"/>
          </w:tcPr>
          <w:p w:rsidR="001D738B" w:rsidRDefault="001D738B" w:rsidP="006345AC">
            <w:r>
              <w:t>As a minimum, the MRC and the governing body (or equivalent) must receive: a. regular updates on the volume, categories and outcomes of complaints, alongside complaint handling performance; b. regular reviews of issues and trends arising from complaint handling; c. regular updates on the outcomes of the Ombudsman’s investigations and progress made in complying with orders related to severe maladministration findings; and d. annual complaints performance and service improvement report.</w:t>
            </w:r>
          </w:p>
        </w:tc>
        <w:tc>
          <w:tcPr>
            <w:tcW w:w="1080" w:type="dxa"/>
            <w:shd w:val="clear" w:color="auto" w:fill="auto"/>
          </w:tcPr>
          <w:p w:rsidR="001D738B" w:rsidRDefault="001D738B" w:rsidP="006345AC">
            <w:pPr>
              <w:rPr>
                <w:lang w:val="en-US"/>
              </w:rPr>
            </w:pPr>
            <w:r>
              <w:rPr>
                <w:lang w:val="en-US"/>
              </w:rPr>
              <w:t>Y</w:t>
            </w:r>
          </w:p>
        </w:tc>
        <w:tc>
          <w:tcPr>
            <w:tcW w:w="2409" w:type="dxa"/>
            <w:shd w:val="clear" w:color="auto" w:fill="auto"/>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The Head of Community reports the number of complaints, categories and outcomes to the board of trustees and the CEO in regular meetings.</w:t>
            </w:r>
          </w:p>
        </w:tc>
      </w:tr>
      <w:tr w:rsidR="001D738B" w:rsidTr="006345AC">
        <w:tc>
          <w:tcPr>
            <w:tcW w:w="1129" w:type="dxa"/>
          </w:tcPr>
          <w:p w:rsidR="001D738B" w:rsidRDefault="001D738B" w:rsidP="006345AC">
            <w:pPr>
              <w:rPr>
                <w:lang w:val="en-US"/>
              </w:rPr>
            </w:pPr>
            <w:r>
              <w:rPr>
                <w:lang w:val="en-US"/>
              </w:rPr>
              <w:t>9.8</w:t>
            </w:r>
          </w:p>
        </w:tc>
        <w:tc>
          <w:tcPr>
            <w:tcW w:w="4449" w:type="dxa"/>
          </w:tcPr>
          <w:p w:rsidR="001D738B" w:rsidRDefault="001D738B" w:rsidP="006345AC">
            <w:r>
              <w:t xml:space="preserve">Landlords must have a standard objective in relation to complaint handling for all relevant employees or third parties that reflects the need to: a. have a collaborative and </w:t>
            </w:r>
            <w:proofErr w:type="spellStart"/>
            <w:r>
              <w:t>co operative</w:t>
            </w:r>
            <w:proofErr w:type="spellEnd"/>
            <w:r>
              <w:t xml:space="preserve"> approach towards resolving complaints, working with colleagues across teams and departments; b. take collective responsibility for any shortfalls identified through complaints, rather than blaming others; and c. act within the professional standards for engaging with complaints as set by any relevant professional body.</w:t>
            </w:r>
          </w:p>
        </w:tc>
        <w:tc>
          <w:tcPr>
            <w:tcW w:w="1080" w:type="dxa"/>
            <w:shd w:val="clear" w:color="auto" w:fill="auto"/>
          </w:tcPr>
          <w:p w:rsidR="001D738B" w:rsidRDefault="001D738B" w:rsidP="006345AC">
            <w:pPr>
              <w:rPr>
                <w:lang w:val="en-US"/>
              </w:rPr>
            </w:pPr>
            <w:r>
              <w:rPr>
                <w:lang w:val="en-US"/>
              </w:rPr>
              <w:t>Y</w:t>
            </w:r>
          </w:p>
        </w:tc>
        <w:tc>
          <w:tcPr>
            <w:tcW w:w="2409" w:type="dxa"/>
            <w:shd w:val="clear" w:color="auto" w:fill="auto"/>
          </w:tcPr>
          <w:p w:rsidR="001D738B" w:rsidRDefault="001D738B" w:rsidP="006345AC">
            <w:pPr>
              <w:rPr>
                <w:lang w:val="en-US"/>
              </w:rPr>
            </w:pPr>
          </w:p>
        </w:tc>
        <w:tc>
          <w:tcPr>
            <w:tcW w:w="4881" w:type="dxa"/>
            <w:shd w:val="clear" w:color="auto" w:fill="auto"/>
          </w:tcPr>
          <w:p w:rsidR="001D738B" w:rsidRDefault="001D738B" w:rsidP="006345AC">
            <w:pPr>
              <w:rPr>
                <w:highlight w:val="red"/>
                <w:lang w:val="en-US"/>
              </w:rPr>
            </w:pPr>
            <w:r>
              <w:t xml:space="preserve">Strides objective in relation to complaint handling is laid out in our complaints policy. </w:t>
            </w:r>
          </w:p>
        </w:tc>
      </w:tr>
    </w:tbl>
    <w:p w:rsidR="001D738B" w:rsidRDefault="001D738B" w:rsidP="001D738B"/>
    <w:p w:rsidR="00C732E3" w:rsidRPr="00ED7E18" w:rsidRDefault="00C732E3" w:rsidP="003D4A21">
      <w:pPr>
        <w:pStyle w:val="Heading1"/>
        <w:numPr>
          <w:ilvl w:val="0"/>
          <w:numId w:val="0"/>
        </w:numPr>
        <w:rPr>
          <w:rFonts w:ascii="Rubik" w:hAnsi="Rubik" w:cs="Rubik"/>
          <w:szCs w:val="18"/>
        </w:rPr>
      </w:pPr>
    </w:p>
    <w:sectPr w:rsidR="00C732E3" w:rsidRPr="00ED7E18" w:rsidSect="006345AC">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F34819" w16cex:dateUtc="2026-06-04T14:41:00Z"/>
  <w16cex:commentExtensible w16cex:durableId="39EF6AA0" w16cex:dateUtc="2026-06-04T14:42:00Z"/>
  <w16cex:commentExtensible w16cex:durableId="122A1AB3" w16cex:dateUtc="2026-06-04T14:43:00Z"/>
  <w16cex:commentExtensible w16cex:durableId="6FEE1E64" w16cex:dateUtc="2026-06-04T14:44:00Z"/>
  <w16cex:commentExtensible w16cex:durableId="7AE7944D" w16cex:dateUtc="2026-06-04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491ED" w16cid:durableId="7A2491ED"/>
  <w16cid:commentId w16cid:paraId="1D011152" w16cid:durableId="1D011152"/>
  <w16cid:commentId w16cid:paraId="5AA75367" w16cid:durableId="5AA75367"/>
  <w16cid:commentId w16cid:paraId="30E46BE2" w16cid:durableId="10F34819"/>
  <w16cid:commentId w16cid:paraId="3E6F8AD0" w16cid:durableId="3E6F8AD0"/>
  <w16cid:commentId w16cid:paraId="21037261" w16cid:durableId="39EF6AA0"/>
  <w16cid:commentId w16cid:paraId="3207E567" w16cid:durableId="3207E567"/>
  <w16cid:commentId w16cid:paraId="0FA57E19" w16cid:durableId="122A1AB3"/>
  <w16cid:commentId w16cid:paraId="42051A86" w16cid:durableId="42051A86"/>
  <w16cid:commentId w16cid:paraId="15B58860" w16cid:durableId="6FEE1E64"/>
  <w16cid:commentId w16cid:paraId="57ADA8AC" w16cid:durableId="57ADA8AC"/>
  <w16cid:commentId w16cid:paraId="095EA38C" w16cid:durableId="7AE794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CD" w:rsidRDefault="003A4FCD" w:rsidP="00EA7C4C">
      <w:pPr>
        <w:spacing w:line="240" w:lineRule="auto"/>
      </w:pPr>
      <w:r>
        <w:separator/>
      </w:r>
    </w:p>
  </w:endnote>
  <w:endnote w:type="continuationSeparator" w:id="0">
    <w:p w:rsidR="003A4FCD" w:rsidRDefault="003A4FCD" w:rsidP="00EA7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ubik">
    <w:altName w:val="Times New Roman"/>
    <w:charset w:val="00"/>
    <w:family w:val="auto"/>
    <w:pitch w:val="variable"/>
    <w:sig w:usb0="A0002A6F" w:usb1="C000205B" w:usb2="00000000" w:usb3="00000000" w:csb0="000000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ExtraBold">
    <w:altName w:val="Times New Roman"/>
    <w:charset w:val="00"/>
    <w:family w:val="auto"/>
    <w:pitch w:val="variable"/>
    <w:sig w:usb0="A0002A6F" w:usb1="C000205B" w:usb2="00000000" w:usb3="00000000" w:csb0="000000F7"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CD" w:rsidRDefault="003A4FCD" w:rsidP="00EA7C4C">
      <w:pPr>
        <w:spacing w:line="240" w:lineRule="auto"/>
      </w:pPr>
      <w:r>
        <w:separator/>
      </w:r>
    </w:p>
  </w:footnote>
  <w:footnote w:type="continuationSeparator" w:id="0">
    <w:p w:rsidR="003A4FCD" w:rsidRDefault="003A4FCD" w:rsidP="00EA7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38"/>
    </w:tblGrid>
    <w:tr w:rsidR="006345AC" w:rsidTr="00072319">
      <w:trPr>
        <w:trHeight w:hRule="exact" w:val="2438"/>
      </w:trPr>
      <w:tc>
        <w:tcPr>
          <w:tcW w:w="9038" w:type="dxa"/>
        </w:tcPr>
        <w:p w:rsidR="006345AC" w:rsidRDefault="006345AC">
          <w:pPr>
            <w:pStyle w:val="Header"/>
          </w:pPr>
          <w:r>
            <w:rPr>
              <w:noProof/>
              <w:lang w:eastAsia="en-GB"/>
            </w:rPr>
            <w:drawing>
              <wp:anchor distT="0" distB="0" distL="114300" distR="114300" simplePos="0" relativeHeight="251661312" behindDoc="0" locked="1" layoutInCell="1" allowOverlap="1" wp14:anchorId="7D1AA246" wp14:editId="6CAFECBA">
                <wp:simplePos x="0" y="0"/>
                <wp:positionH relativeFrom="page">
                  <wp:posOffset>4169410</wp:posOffset>
                </wp:positionH>
                <wp:positionV relativeFrom="page">
                  <wp:posOffset>149225</wp:posOffset>
                </wp:positionV>
                <wp:extent cx="1691640" cy="1005840"/>
                <wp:effectExtent l="0" t="0" r="3810" b="3810"/>
                <wp:wrapNone/>
                <wp:docPr id="7" name="Picture 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4125"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1640" cy="1005840"/>
                        </a:xfrm>
                        <a:prstGeom prst="rect">
                          <a:avLst/>
                        </a:prstGeom>
                      </pic:spPr>
                    </pic:pic>
                  </a:graphicData>
                </a:graphic>
                <wp14:sizeRelH relativeFrom="margin">
                  <wp14:pctWidth>0</wp14:pctWidth>
                </wp14:sizeRelH>
                <wp14:sizeRelV relativeFrom="margin">
                  <wp14:pctHeight>0</wp14:pctHeight>
                </wp14:sizeRelV>
              </wp:anchor>
            </w:drawing>
          </w:r>
        </w:p>
      </w:tc>
    </w:tr>
  </w:tbl>
  <w:p w:rsidR="006345AC" w:rsidRDefault="00634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3AC78F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192C2A"/>
    <w:multiLevelType w:val="hybridMultilevel"/>
    <w:tmpl w:val="C700FFA6"/>
    <w:lvl w:ilvl="0" w:tplc="56DCA41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8359FD"/>
    <w:multiLevelType w:val="multilevel"/>
    <w:tmpl w:val="361E8DC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92" w:hanging="432"/>
      </w:pPr>
      <w:rPr>
        <w:rFonts w:asciiTheme="majorHAnsi" w:hAnsiTheme="majorHAnsi" w:cstheme="majorHAnsi" w:hint="default"/>
        <w:color w:val="003F41" w:themeColor="text2"/>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18"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270273"/>
    <w:multiLevelType w:val="hybridMultilevel"/>
    <w:tmpl w:val="419A2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7397AD6"/>
    <w:multiLevelType w:val="multilevel"/>
    <w:tmpl w:val="34E82DF0"/>
    <w:lvl w:ilvl="0">
      <w:start w:val="1"/>
      <w:numFmt w:val="decimal"/>
      <w:lvlText w:val="%1."/>
      <w:lvlJc w:val="left"/>
      <w:pPr>
        <w:ind w:left="567" w:hanging="567"/>
      </w:pPr>
      <w:rPr>
        <w:b w:val="0"/>
        <w:i w:val="0"/>
        <w:iCs w:val="0"/>
        <w:sz w:val="26"/>
      </w:rPr>
    </w:lvl>
    <w:lvl w:ilvl="1">
      <w:start w:val="1"/>
      <w:numFmt w:val="decimal"/>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5A12388"/>
    <w:multiLevelType w:val="hybridMultilevel"/>
    <w:tmpl w:val="9E94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E503D1"/>
    <w:multiLevelType w:val="multilevel"/>
    <w:tmpl w:val="C9B25B5C"/>
    <w:lvl w:ilvl="0">
      <w:start w:val="1"/>
      <w:numFmt w:val="bullet"/>
      <w:lvlText w:val="●"/>
      <w:lvlJc w:val="left"/>
      <w:pPr>
        <w:ind w:left="360" w:hanging="360"/>
      </w:pPr>
      <w:rPr>
        <w:rFonts w:ascii="Arial" w:hAnsi="Arial" w:hint="default"/>
        <w:color w:val="003F41" w:themeColor="accent4"/>
      </w:rPr>
    </w:lvl>
    <w:lvl w:ilvl="1">
      <w:start w:val="1"/>
      <w:numFmt w:val="bullet"/>
      <w:pStyle w:val="ListBullet2"/>
      <w:lvlText w:val="•"/>
      <w:lvlJc w:val="left"/>
      <w:pPr>
        <w:ind w:left="720" w:hanging="360"/>
      </w:pPr>
      <w:rPr>
        <w:rFonts w:ascii="Calibri" w:hAnsi="Calibri" w:hint="default"/>
        <w:b w:val="0"/>
        <w:i w:val="0"/>
        <w:sz w:val="16"/>
      </w:rPr>
    </w:lvl>
    <w:lvl w:ilvl="2">
      <w:start w:val="1"/>
      <w:numFmt w:val="bullet"/>
      <w:pStyle w:val="ListBullet3"/>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6"/>
  </w:num>
  <w:num w:numId="2">
    <w:abstractNumId w:val="33"/>
  </w:num>
  <w:num w:numId="3">
    <w:abstractNumId w:val="26"/>
  </w:num>
  <w:num w:numId="4">
    <w:abstractNumId w:val="36"/>
  </w:num>
  <w:num w:numId="5">
    <w:abstractNumId w:val="28"/>
  </w:num>
  <w:num w:numId="6">
    <w:abstractNumId w:val="9"/>
  </w:num>
  <w:num w:numId="7">
    <w:abstractNumId w:val="5"/>
  </w:num>
  <w:num w:numId="8">
    <w:abstractNumId w:val="35"/>
  </w:num>
  <w:num w:numId="9">
    <w:abstractNumId w:val="17"/>
  </w:num>
  <w:num w:numId="10">
    <w:abstractNumId w:val="2"/>
  </w:num>
  <w:num w:numId="11">
    <w:abstractNumId w:val="37"/>
  </w:num>
  <w:num w:numId="12">
    <w:abstractNumId w:val="20"/>
  </w:num>
  <w:num w:numId="13">
    <w:abstractNumId w:val="4"/>
  </w:num>
  <w:num w:numId="14">
    <w:abstractNumId w:val="3"/>
  </w:num>
  <w:num w:numId="15">
    <w:abstractNumId w:val="27"/>
  </w:num>
  <w:num w:numId="16">
    <w:abstractNumId w:val="34"/>
  </w:num>
  <w:num w:numId="17">
    <w:abstractNumId w:val="14"/>
  </w:num>
  <w:num w:numId="18">
    <w:abstractNumId w:val="19"/>
  </w:num>
  <w:num w:numId="19">
    <w:abstractNumId w:val="13"/>
  </w:num>
  <w:num w:numId="20">
    <w:abstractNumId w:val="32"/>
  </w:num>
  <w:num w:numId="21">
    <w:abstractNumId w:val="6"/>
  </w:num>
  <w:num w:numId="22">
    <w:abstractNumId w:val="29"/>
  </w:num>
  <w:num w:numId="23">
    <w:abstractNumId w:val="1"/>
  </w:num>
  <w:num w:numId="24">
    <w:abstractNumId w:val="15"/>
  </w:num>
  <w:num w:numId="25">
    <w:abstractNumId w:val="8"/>
  </w:num>
  <w:num w:numId="26">
    <w:abstractNumId w:val="30"/>
  </w:num>
  <w:num w:numId="27">
    <w:abstractNumId w:val="25"/>
  </w:num>
  <w:num w:numId="28">
    <w:abstractNumId w:val="12"/>
  </w:num>
  <w:num w:numId="29">
    <w:abstractNumId w:val="21"/>
  </w:num>
  <w:num w:numId="30">
    <w:abstractNumId w:val="18"/>
  </w:num>
  <w:num w:numId="31">
    <w:abstractNumId w:val="24"/>
  </w:num>
  <w:num w:numId="32">
    <w:abstractNumId w:val="7"/>
  </w:num>
  <w:num w:numId="33">
    <w:abstractNumId w:val="10"/>
  </w:num>
  <w:num w:numId="34">
    <w:abstractNumId w:val="22"/>
  </w:num>
  <w:num w:numId="35">
    <w:abstractNumId w:val="0"/>
  </w:num>
  <w:num w:numId="36">
    <w:abstractNumId w:val="33"/>
    <w:lvlOverride w:ilvl="0"/>
    <w:lvlOverride w:ilvl="1"/>
    <w:lvlOverride w:ilvl="2"/>
    <w:lvlOverride w:ilvl="3"/>
    <w:lvlOverride w:ilvl="4"/>
    <w:lvlOverride w:ilvl="5"/>
    <w:lvlOverride w:ilvl="6"/>
    <w:lvlOverride w:ilvl="7"/>
    <w:lvlOverride w:ilvl="8"/>
  </w:num>
  <w:num w:numId="37">
    <w:abstractNumId w:val="23"/>
  </w:num>
  <w:num w:numId="38">
    <w:abstractNumId w:val="31"/>
  </w:num>
  <w:num w:numId="3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51"/>
    <w:rsid w:val="000023A7"/>
    <w:rsid w:val="00025D09"/>
    <w:rsid w:val="000546D9"/>
    <w:rsid w:val="00072319"/>
    <w:rsid w:val="00097A51"/>
    <w:rsid w:val="000D1751"/>
    <w:rsid w:val="000D56EE"/>
    <w:rsid w:val="001005CA"/>
    <w:rsid w:val="0010173F"/>
    <w:rsid w:val="001051C5"/>
    <w:rsid w:val="00107889"/>
    <w:rsid w:val="00115877"/>
    <w:rsid w:val="001319DA"/>
    <w:rsid w:val="00146A9A"/>
    <w:rsid w:val="00173E9B"/>
    <w:rsid w:val="001873E2"/>
    <w:rsid w:val="00192E32"/>
    <w:rsid w:val="001C146D"/>
    <w:rsid w:val="001C2BEF"/>
    <w:rsid w:val="001C6B14"/>
    <w:rsid w:val="001D738B"/>
    <w:rsid w:val="001E2313"/>
    <w:rsid w:val="001F1A3D"/>
    <w:rsid w:val="00213F76"/>
    <w:rsid w:val="00241C1B"/>
    <w:rsid w:val="00252B0F"/>
    <w:rsid w:val="00264AE2"/>
    <w:rsid w:val="00274B92"/>
    <w:rsid w:val="002A4C6D"/>
    <w:rsid w:val="002A7324"/>
    <w:rsid w:val="002E20F9"/>
    <w:rsid w:val="002F4D0C"/>
    <w:rsid w:val="00307301"/>
    <w:rsid w:val="003369CC"/>
    <w:rsid w:val="003533E4"/>
    <w:rsid w:val="00356EBE"/>
    <w:rsid w:val="003839B4"/>
    <w:rsid w:val="00386AAB"/>
    <w:rsid w:val="00390C7C"/>
    <w:rsid w:val="0039323A"/>
    <w:rsid w:val="00394C15"/>
    <w:rsid w:val="003951CC"/>
    <w:rsid w:val="003A4FCD"/>
    <w:rsid w:val="003C5497"/>
    <w:rsid w:val="003D09C9"/>
    <w:rsid w:val="003D4A21"/>
    <w:rsid w:val="003E21CF"/>
    <w:rsid w:val="003E6DBA"/>
    <w:rsid w:val="003F7353"/>
    <w:rsid w:val="00405EF7"/>
    <w:rsid w:val="004174CC"/>
    <w:rsid w:val="00421F78"/>
    <w:rsid w:val="00423862"/>
    <w:rsid w:val="004603A6"/>
    <w:rsid w:val="00467A86"/>
    <w:rsid w:val="00471E2F"/>
    <w:rsid w:val="004804E5"/>
    <w:rsid w:val="00480A01"/>
    <w:rsid w:val="00483B75"/>
    <w:rsid w:val="004C7075"/>
    <w:rsid w:val="004D1D6C"/>
    <w:rsid w:val="004E554B"/>
    <w:rsid w:val="004F3CC3"/>
    <w:rsid w:val="00510113"/>
    <w:rsid w:val="00521AB7"/>
    <w:rsid w:val="00537287"/>
    <w:rsid w:val="00552348"/>
    <w:rsid w:val="00563375"/>
    <w:rsid w:val="00565669"/>
    <w:rsid w:val="005938B6"/>
    <w:rsid w:val="005B2200"/>
    <w:rsid w:val="005B3C6F"/>
    <w:rsid w:val="005C3EC1"/>
    <w:rsid w:val="005D407A"/>
    <w:rsid w:val="005E1C38"/>
    <w:rsid w:val="005E7A7E"/>
    <w:rsid w:val="005F3633"/>
    <w:rsid w:val="00603F65"/>
    <w:rsid w:val="0061248A"/>
    <w:rsid w:val="006165BA"/>
    <w:rsid w:val="006345AC"/>
    <w:rsid w:val="00641052"/>
    <w:rsid w:val="0067405F"/>
    <w:rsid w:val="00680FE6"/>
    <w:rsid w:val="00691816"/>
    <w:rsid w:val="006B0C4C"/>
    <w:rsid w:val="006B2250"/>
    <w:rsid w:val="006C0DB4"/>
    <w:rsid w:val="006E1443"/>
    <w:rsid w:val="006E7F95"/>
    <w:rsid w:val="00714613"/>
    <w:rsid w:val="00735E7F"/>
    <w:rsid w:val="0074343D"/>
    <w:rsid w:val="0074737F"/>
    <w:rsid w:val="00751A92"/>
    <w:rsid w:val="00752443"/>
    <w:rsid w:val="007540F2"/>
    <w:rsid w:val="007915A6"/>
    <w:rsid w:val="007A1223"/>
    <w:rsid w:val="007A5768"/>
    <w:rsid w:val="007B4526"/>
    <w:rsid w:val="007C3275"/>
    <w:rsid w:val="007C5C13"/>
    <w:rsid w:val="007D2B82"/>
    <w:rsid w:val="007D731A"/>
    <w:rsid w:val="007E6832"/>
    <w:rsid w:val="007F5004"/>
    <w:rsid w:val="008169D2"/>
    <w:rsid w:val="00820685"/>
    <w:rsid w:val="00832BCE"/>
    <w:rsid w:val="00873964"/>
    <w:rsid w:val="008B5784"/>
    <w:rsid w:val="008B7C62"/>
    <w:rsid w:val="008D0996"/>
    <w:rsid w:val="008D4A34"/>
    <w:rsid w:val="008E3840"/>
    <w:rsid w:val="008F006A"/>
    <w:rsid w:val="008F281C"/>
    <w:rsid w:val="009132BD"/>
    <w:rsid w:val="00915612"/>
    <w:rsid w:val="0093222E"/>
    <w:rsid w:val="00945588"/>
    <w:rsid w:val="00950A11"/>
    <w:rsid w:val="00957B38"/>
    <w:rsid w:val="0096238D"/>
    <w:rsid w:val="0097182B"/>
    <w:rsid w:val="009776F5"/>
    <w:rsid w:val="00983796"/>
    <w:rsid w:val="009A0641"/>
    <w:rsid w:val="009A0A72"/>
    <w:rsid w:val="009A6D41"/>
    <w:rsid w:val="009C7469"/>
    <w:rsid w:val="009E79E9"/>
    <w:rsid w:val="00A04956"/>
    <w:rsid w:val="00A131AD"/>
    <w:rsid w:val="00A1462B"/>
    <w:rsid w:val="00A17816"/>
    <w:rsid w:val="00A24A35"/>
    <w:rsid w:val="00A257C5"/>
    <w:rsid w:val="00A324C2"/>
    <w:rsid w:val="00A32B99"/>
    <w:rsid w:val="00A45E61"/>
    <w:rsid w:val="00A6106B"/>
    <w:rsid w:val="00A64F7D"/>
    <w:rsid w:val="00A76E3F"/>
    <w:rsid w:val="00AB4079"/>
    <w:rsid w:val="00AB74D1"/>
    <w:rsid w:val="00AC44E1"/>
    <w:rsid w:val="00AD2653"/>
    <w:rsid w:val="00AD3B3D"/>
    <w:rsid w:val="00AE1BF8"/>
    <w:rsid w:val="00B22A06"/>
    <w:rsid w:val="00B44218"/>
    <w:rsid w:val="00B45B77"/>
    <w:rsid w:val="00B722B4"/>
    <w:rsid w:val="00BB272E"/>
    <w:rsid w:val="00BE26E9"/>
    <w:rsid w:val="00BE42D0"/>
    <w:rsid w:val="00C16F64"/>
    <w:rsid w:val="00C22ECF"/>
    <w:rsid w:val="00C23D34"/>
    <w:rsid w:val="00C244C6"/>
    <w:rsid w:val="00C317E7"/>
    <w:rsid w:val="00C42E6B"/>
    <w:rsid w:val="00C53978"/>
    <w:rsid w:val="00C732E3"/>
    <w:rsid w:val="00C93C10"/>
    <w:rsid w:val="00CB4289"/>
    <w:rsid w:val="00CD2168"/>
    <w:rsid w:val="00CD2E6A"/>
    <w:rsid w:val="00CD461E"/>
    <w:rsid w:val="00CE12AD"/>
    <w:rsid w:val="00CE12F6"/>
    <w:rsid w:val="00CE4875"/>
    <w:rsid w:val="00D05F42"/>
    <w:rsid w:val="00D13EDB"/>
    <w:rsid w:val="00D14676"/>
    <w:rsid w:val="00D1645A"/>
    <w:rsid w:val="00D24B5B"/>
    <w:rsid w:val="00D42E28"/>
    <w:rsid w:val="00D64949"/>
    <w:rsid w:val="00D6687E"/>
    <w:rsid w:val="00D67B41"/>
    <w:rsid w:val="00D72F7D"/>
    <w:rsid w:val="00D97320"/>
    <w:rsid w:val="00DA49E8"/>
    <w:rsid w:val="00DE01B2"/>
    <w:rsid w:val="00DE0F5A"/>
    <w:rsid w:val="00DF1BB4"/>
    <w:rsid w:val="00E312BE"/>
    <w:rsid w:val="00E329E9"/>
    <w:rsid w:val="00E54C1B"/>
    <w:rsid w:val="00E75A01"/>
    <w:rsid w:val="00E83A91"/>
    <w:rsid w:val="00EA5E66"/>
    <w:rsid w:val="00EA65F0"/>
    <w:rsid w:val="00EA7C4C"/>
    <w:rsid w:val="00EC07D3"/>
    <w:rsid w:val="00ED038C"/>
    <w:rsid w:val="00ED14BE"/>
    <w:rsid w:val="00ED4340"/>
    <w:rsid w:val="00ED6D59"/>
    <w:rsid w:val="00ED7E18"/>
    <w:rsid w:val="00ED7ED0"/>
    <w:rsid w:val="00F004EA"/>
    <w:rsid w:val="00F03702"/>
    <w:rsid w:val="00F06B99"/>
    <w:rsid w:val="00F10A2C"/>
    <w:rsid w:val="00F157F3"/>
    <w:rsid w:val="00F75254"/>
    <w:rsid w:val="00F905A0"/>
    <w:rsid w:val="00FA262F"/>
    <w:rsid w:val="00FB7505"/>
    <w:rsid w:val="00FD4019"/>
    <w:rsid w:val="00FE0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8A28D"/>
  <w15:chartTrackingRefBased/>
  <w15:docId w15:val="{55CD97FB-F06C-4EED-99BD-97D1AF84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locked="1" w:semiHidden="1" w:uiPriority="9" w:unhideWhenUsed="1"/>
    <w:lsdException w:name="heading 7" w:locked="1"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443"/>
    <w:pPr>
      <w:spacing w:after="0" w:line="216" w:lineRule="atLeast"/>
    </w:pPr>
    <w:rPr>
      <w:sz w:val="18"/>
    </w:rPr>
  </w:style>
  <w:style w:type="paragraph" w:styleId="Heading1">
    <w:name w:val="heading 1"/>
    <w:basedOn w:val="Normal"/>
    <w:next w:val="Normal"/>
    <w:link w:val="Heading1Char"/>
    <w:uiPriority w:val="9"/>
    <w:qFormat/>
    <w:rsid w:val="00752443"/>
    <w:pPr>
      <w:keepNext/>
      <w:keepLines/>
      <w:numPr>
        <w:numId w:val="1"/>
      </w:numPr>
      <w:pBdr>
        <w:bottom w:val="single" w:sz="4" w:space="3" w:color="003F41" w:themeColor="text2"/>
      </w:pBdr>
      <w:tabs>
        <w:tab w:val="left" w:pos="588"/>
      </w:tabs>
      <w:spacing w:before="660" w:after="280" w:line="312" w:lineRule="atLeast"/>
      <w:ind w:left="335" w:hanging="335"/>
      <w:contextualSpacing/>
      <w:outlineLvl w:val="0"/>
    </w:pPr>
    <w:rPr>
      <w:rFonts w:asciiTheme="majorHAnsi" w:eastAsiaTheme="majorEastAsia" w:hAnsiTheme="majorHAnsi" w:cstheme="majorBidi"/>
      <w:caps/>
      <w:color w:val="003F41" w:themeColor="text2"/>
      <w:sz w:val="26"/>
      <w:szCs w:val="32"/>
    </w:rPr>
  </w:style>
  <w:style w:type="paragraph" w:styleId="Heading2">
    <w:name w:val="heading 2"/>
    <w:basedOn w:val="Normal"/>
    <w:next w:val="Normal"/>
    <w:link w:val="Heading2Char"/>
    <w:uiPriority w:val="9"/>
    <w:unhideWhenUsed/>
    <w:qFormat/>
    <w:rsid w:val="00A1462B"/>
    <w:pPr>
      <w:keepNext/>
      <w:keepLines/>
      <w:numPr>
        <w:ilvl w:val="1"/>
        <w:numId w:val="1"/>
      </w:numPr>
      <w:spacing w:before="360" w:after="80" w:line="240" w:lineRule="atLeast"/>
      <w:ind w:left="459" w:hanging="459"/>
      <w:contextualSpacing/>
      <w:outlineLvl w:val="1"/>
    </w:pPr>
    <w:rPr>
      <w:rFonts w:eastAsiaTheme="majorEastAsia" w:cstheme="majorBidi"/>
      <w:b/>
      <w:caps/>
      <w:color w:val="003F41" w:themeColor="text2"/>
      <w:sz w:val="22"/>
      <w:szCs w:val="26"/>
    </w:rPr>
  </w:style>
  <w:style w:type="paragraph" w:styleId="Heading3">
    <w:name w:val="heading 3"/>
    <w:basedOn w:val="Heading2"/>
    <w:next w:val="Normal"/>
    <w:link w:val="Heading3Char"/>
    <w:uiPriority w:val="9"/>
    <w:unhideWhenUsed/>
    <w:qFormat/>
    <w:rsid w:val="00AD3B3D"/>
    <w:pPr>
      <w:spacing w:before="120" w:after="120" w:line="260" w:lineRule="atLeast"/>
      <w:contextualSpacing w:val="0"/>
      <w:outlineLvl w:val="2"/>
    </w:pPr>
    <w:rPr>
      <w:b w:val="0"/>
      <w:caps w:val="0"/>
      <w:color w:val="auto"/>
      <w:sz w:val="18"/>
    </w:rPr>
  </w:style>
  <w:style w:type="paragraph" w:styleId="Heading4">
    <w:name w:val="heading 4"/>
    <w:next w:val="Normal"/>
    <w:link w:val="Heading4Char"/>
    <w:uiPriority w:val="9"/>
    <w:unhideWhenUsed/>
    <w:qFormat/>
    <w:rsid w:val="003E21CF"/>
    <w:pPr>
      <w:pBdr>
        <w:bottom w:val="single" w:sz="4" w:space="3" w:color="003F41" w:themeColor="text2"/>
      </w:pBdr>
      <w:outlineLvl w:val="3"/>
    </w:pPr>
    <w:rPr>
      <w:rFonts w:asciiTheme="majorHAnsi" w:eastAsiaTheme="majorEastAsia" w:hAnsiTheme="majorHAnsi" w:cstheme="majorBidi"/>
      <w:caps/>
      <w:color w:val="003F41" w:themeColor="text2"/>
      <w:sz w:val="26"/>
      <w:szCs w:val="26"/>
    </w:rPr>
  </w:style>
  <w:style w:type="paragraph" w:styleId="Heading5">
    <w:name w:val="heading 5"/>
    <w:basedOn w:val="Normal"/>
    <w:next w:val="Normal"/>
    <w:link w:val="Heading5Char"/>
    <w:uiPriority w:val="9"/>
    <w:unhideWhenUsed/>
    <w:qFormat/>
    <w:rsid w:val="00A1462B"/>
    <w:pPr>
      <w:keepNext/>
      <w:keepLines/>
      <w:spacing w:after="80"/>
      <w:contextualSpacing/>
      <w:outlineLvl w:val="4"/>
    </w:pPr>
    <w:rPr>
      <w:rFonts w:asciiTheme="majorHAnsi" w:eastAsiaTheme="majorEastAsia" w:hAnsiTheme="majorHAnsi" w:cstheme="majorBidi"/>
      <w:color w:val="002F30" w:themeColor="accent1" w:themeShade="BF"/>
    </w:rPr>
  </w:style>
  <w:style w:type="paragraph" w:styleId="Heading6">
    <w:name w:val="heading 6"/>
    <w:next w:val="Normal"/>
    <w:link w:val="Heading6Char"/>
    <w:uiPriority w:val="9"/>
    <w:semiHidden/>
    <w:locked/>
    <w:rsid w:val="003E21CF"/>
    <w:pPr>
      <w:outlineLvl w:val="5"/>
    </w:pPr>
    <w:rPr>
      <w:rFonts w:asciiTheme="majorHAnsi" w:eastAsiaTheme="majorEastAsia" w:hAnsiTheme="majorHAnsi" w:cstheme="majorBidi"/>
      <w:color w:val="002F30" w:themeColor="accent1" w:themeShade="BF"/>
      <w:sz w:val="18"/>
    </w:rPr>
  </w:style>
  <w:style w:type="paragraph" w:styleId="Heading7">
    <w:name w:val="heading 7"/>
    <w:basedOn w:val="Normal"/>
    <w:next w:val="Normal"/>
    <w:link w:val="Heading7Char"/>
    <w:uiPriority w:val="9"/>
    <w:semiHidden/>
    <w:locked/>
    <w:rsid w:val="00820685"/>
    <w:pPr>
      <w:keepNext/>
      <w:keepLines/>
      <w:spacing w:before="40"/>
      <w:outlineLvl w:val="6"/>
    </w:pPr>
    <w:rPr>
      <w:rFonts w:asciiTheme="majorHAnsi" w:eastAsiaTheme="majorEastAsia" w:hAnsiTheme="majorHAnsi" w:cstheme="majorBidi"/>
      <w:i/>
      <w:iCs/>
      <w:color w:val="001F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C4C"/>
    <w:pPr>
      <w:tabs>
        <w:tab w:val="center" w:pos="4513"/>
        <w:tab w:val="right" w:pos="9026"/>
      </w:tabs>
      <w:spacing w:line="240" w:lineRule="auto"/>
    </w:pPr>
  </w:style>
  <w:style w:type="character" w:customStyle="1" w:styleId="HeaderChar">
    <w:name w:val="Header Char"/>
    <w:basedOn w:val="DefaultParagraphFont"/>
    <w:link w:val="Header"/>
    <w:uiPriority w:val="99"/>
    <w:rsid w:val="00EA7C4C"/>
  </w:style>
  <w:style w:type="paragraph" w:styleId="Footer">
    <w:name w:val="footer"/>
    <w:basedOn w:val="Normal"/>
    <w:link w:val="FooterChar"/>
    <w:uiPriority w:val="99"/>
    <w:unhideWhenUsed/>
    <w:rsid w:val="00EA7C4C"/>
    <w:pPr>
      <w:tabs>
        <w:tab w:val="center" w:pos="4513"/>
        <w:tab w:val="right" w:pos="9026"/>
      </w:tabs>
      <w:spacing w:line="240" w:lineRule="auto"/>
    </w:pPr>
  </w:style>
  <w:style w:type="character" w:customStyle="1" w:styleId="FooterChar">
    <w:name w:val="Footer Char"/>
    <w:basedOn w:val="DefaultParagraphFont"/>
    <w:link w:val="Footer"/>
    <w:uiPriority w:val="99"/>
    <w:rsid w:val="00EA7C4C"/>
  </w:style>
  <w:style w:type="character" w:customStyle="1" w:styleId="Heading3Char">
    <w:name w:val="Heading 3 Char"/>
    <w:basedOn w:val="DefaultParagraphFont"/>
    <w:link w:val="Heading3"/>
    <w:uiPriority w:val="9"/>
    <w:rsid w:val="00AD3B3D"/>
    <w:rPr>
      <w:rFonts w:eastAsiaTheme="majorEastAsia" w:cstheme="majorBidi"/>
      <w:sz w:val="18"/>
      <w:szCs w:val="26"/>
    </w:rPr>
  </w:style>
  <w:style w:type="character" w:customStyle="1" w:styleId="Heading1Char">
    <w:name w:val="Heading 1 Char"/>
    <w:basedOn w:val="DefaultParagraphFont"/>
    <w:link w:val="Heading1"/>
    <w:uiPriority w:val="9"/>
    <w:rsid w:val="00752443"/>
    <w:rPr>
      <w:rFonts w:asciiTheme="majorHAnsi" w:eastAsiaTheme="majorEastAsia" w:hAnsiTheme="majorHAnsi" w:cstheme="majorBidi"/>
      <w:caps/>
      <w:color w:val="003F41" w:themeColor="text2"/>
      <w:sz w:val="26"/>
      <w:szCs w:val="32"/>
    </w:rPr>
  </w:style>
  <w:style w:type="character" w:customStyle="1" w:styleId="Heading2Char">
    <w:name w:val="Heading 2 Char"/>
    <w:basedOn w:val="DefaultParagraphFont"/>
    <w:link w:val="Heading2"/>
    <w:uiPriority w:val="9"/>
    <w:rsid w:val="00A1462B"/>
    <w:rPr>
      <w:rFonts w:eastAsiaTheme="majorEastAsia" w:cstheme="majorBidi"/>
      <w:b/>
      <w:caps/>
      <w:color w:val="003F41" w:themeColor="text2"/>
      <w:szCs w:val="26"/>
    </w:rPr>
  </w:style>
  <w:style w:type="paragraph" w:styleId="ListParagraph">
    <w:name w:val="List Paragraph"/>
    <w:basedOn w:val="Normal"/>
    <w:uiPriority w:val="34"/>
    <w:qFormat/>
    <w:rsid w:val="00BB272E"/>
    <w:pPr>
      <w:ind w:left="720"/>
      <w:contextualSpacing/>
    </w:pPr>
  </w:style>
  <w:style w:type="paragraph" w:styleId="NoSpacing">
    <w:name w:val="No Spacing"/>
    <w:aliases w:val="Sub list"/>
    <w:uiPriority w:val="1"/>
    <w:qFormat/>
    <w:rsid w:val="00BB272E"/>
    <w:pPr>
      <w:spacing w:after="0" w:line="240" w:lineRule="auto"/>
    </w:pPr>
    <w:rPr>
      <w:sz w:val="18"/>
    </w:rPr>
  </w:style>
  <w:style w:type="paragraph" w:styleId="ListBullet">
    <w:name w:val="List Bullet"/>
    <w:basedOn w:val="ListBullet2"/>
    <w:uiPriority w:val="99"/>
    <w:unhideWhenUsed/>
    <w:qFormat/>
    <w:rsid w:val="007B4526"/>
    <w:pPr>
      <w:spacing w:after="200" w:line="220" w:lineRule="atLeast"/>
    </w:pPr>
  </w:style>
  <w:style w:type="character" w:customStyle="1" w:styleId="Heading4Char">
    <w:name w:val="Heading 4 Char"/>
    <w:basedOn w:val="DefaultParagraphFont"/>
    <w:link w:val="Heading4"/>
    <w:uiPriority w:val="9"/>
    <w:rsid w:val="003E21CF"/>
    <w:rPr>
      <w:rFonts w:asciiTheme="majorHAnsi" w:eastAsiaTheme="majorEastAsia" w:hAnsiTheme="majorHAnsi" w:cstheme="majorBidi"/>
      <w:caps/>
      <w:color w:val="003F41" w:themeColor="text2"/>
      <w:sz w:val="26"/>
      <w:szCs w:val="26"/>
    </w:rPr>
  </w:style>
  <w:style w:type="paragraph" w:styleId="ListBullet2">
    <w:name w:val="List Bullet 2"/>
    <w:basedOn w:val="Normal"/>
    <w:uiPriority w:val="99"/>
    <w:unhideWhenUsed/>
    <w:rsid w:val="00A1462B"/>
    <w:pPr>
      <w:numPr>
        <w:ilvl w:val="1"/>
        <w:numId w:val="2"/>
      </w:numPr>
      <w:spacing w:after="160" w:line="200" w:lineRule="atLeast"/>
    </w:pPr>
  </w:style>
  <w:style w:type="paragraph" w:styleId="ListBullet3">
    <w:name w:val="List Bullet 3"/>
    <w:basedOn w:val="Normal"/>
    <w:uiPriority w:val="99"/>
    <w:unhideWhenUsed/>
    <w:rsid w:val="00EA65F0"/>
    <w:pPr>
      <w:numPr>
        <w:ilvl w:val="2"/>
        <w:numId w:val="2"/>
      </w:numPr>
      <w:contextualSpacing/>
    </w:pPr>
  </w:style>
  <w:style w:type="paragraph" w:customStyle="1" w:styleId="ContentsStyle">
    <w:name w:val="Contents Style"/>
    <w:basedOn w:val="Normal"/>
    <w:rsid w:val="00915612"/>
    <w:pPr>
      <w:spacing w:after="900" w:line="840" w:lineRule="atLeast"/>
      <w:contextualSpacing/>
    </w:pPr>
    <w:rPr>
      <w:rFonts w:asciiTheme="majorHAnsi" w:hAnsiTheme="majorHAnsi"/>
      <w:caps/>
      <w:color w:val="003F41" w:themeColor="text2"/>
      <w:sz w:val="70"/>
    </w:rPr>
  </w:style>
  <w:style w:type="table" w:styleId="TableGrid">
    <w:name w:val="Table Grid"/>
    <w:basedOn w:val="TableNormal"/>
    <w:uiPriority w:val="39"/>
    <w:rsid w:val="0091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A5E66"/>
    <w:pPr>
      <w:pBdr>
        <w:bottom w:val="single" w:sz="4" w:space="4" w:color="003F41" w:themeColor="text2"/>
        <w:between w:val="single" w:sz="4" w:space="4" w:color="003F41" w:themeColor="text2"/>
      </w:pBdr>
      <w:tabs>
        <w:tab w:val="left" w:pos="660"/>
        <w:tab w:val="right" w:pos="8343"/>
      </w:tabs>
      <w:spacing w:line="240" w:lineRule="auto"/>
      <w:ind w:right="680"/>
    </w:pPr>
    <w:rPr>
      <w:noProof/>
      <w:color w:val="003F41" w:themeColor="text2"/>
      <w:sz w:val="26"/>
      <w:szCs w:val="26"/>
    </w:rPr>
  </w:style>
  <w:style w:type="paragraph" w:styleId="BodyText">
    <w:name w:val="Body Text"/>
    <w:basedOn w:val="Normal"/>
    <w:link w:val="BodyTextChar"/>
    <w:uiPriority w:val="99"/>
    <w:unhideWhenUsed/>
    <w:rsid w:val="008D0996"/>
    <w:pPr>
      <w:spacing w:line="168" w:lineRule="atLeast"/>
    </w:pPr>
    <w:rPr>
      <w:color w:val="003F41" w:themeColor="text2"/>
      <w:sz w:val="14"/>
    </w:rPr>
  </w:style>
  <w:style w:type="character" w:customStyle="1" w:styleId="BodyTextChar">
    <w:name w:val="Body Text Char"/>
    <w:basedOn w:val="DefaultParagraphFont"/>
    <w:link w:val="BodyText"/>
    <w:uiPriority w:val="99"/>
    <w:rsid w:val="008D0996"/>
    <w:rPr>
      <w:color w:val="003F41" w:themeColor="text2"/>
      <w:sz w:val="14"/>
    </w:rPr>
  </w:style>
  <w:style w:type="paragraph" w:styleId="NormalIndent">
    <w:name w:val="Normal Indent"/>
    <w:basedOn w:val="Normal"/>
    <w:uiPriority w:val="99"/>
    <w:unhideWhenUsed/>
    <w:qFormat/>
    <w:rsid w:val="00CB4289"/>
    <w:pPr>
      <w:ind w:left="476"/>
    </w:pPr>
  </w:style>
  <w:style w:type="character" w:customStyle="1" w:styleId="Heading5Char">
    <w:name w:val="Heading 5 Char"/>
    <w:basedOn w:val="DefaultParagraphFont"/>
    <w:link w:val="Heading5"/>
    <w:uiPriority w:val="9"/>
    <w:rsid w:val="00A1462B"/>
    <w:rPr>
      <w:rFonts w:asciiTheme="majorHAnsi" w:eastAsiaTheme="majorEastAsia" w:hAnsiTheme="majorHAnsi" w:cstheme="majorBidi"/>
      <w:color w:val="002F30" w:themeColor="accent1" w:themeShade="BF"/>
      <w:sz w:val="18"/>
    </w:rPr>
  </w:style>
  <w:style w:type="character" w:customStyle="1" w:styleId="Heading6Char">
    <w:name w:val="Heading 6 Char"/>
    <w:basedOn w:val="DefaultParagraphFont"/>
    <w:link w:val="Heading6"/>
    <w:uiPriority w:val="9"/>
    <w:semiHidden/>
    <w:rsid w:val="00820685"/>
    <w:rPr>
      <w:rFonts w:asciiTheme="majorHAnsi" w:eastAsiaTheme="majorEastAsia" w:hAnsiTheme="majorHAnsi" w:cstheme="majorBidi"/>
      <w:color w:val="002F30" w:themeColor="accent1" w:themeShade="BF"/>
      <w:sz w:val="18"/>
    </w:rPr>
  </w:style>
  <w:style w:type="paragraph" w:styleId="TOC2">
    <w:name w:val="toc 2"/>
    <w:basedOn w:val="TOC1"/>
    <w:next w:val="Normal"/>
    <w:autoRedefine/>
    <w:uiPriority w:val="39"/>
    <w:unhideWhenUsed/>
    <w:rsid w:val="00EA5E66"/>
  </w:style>
  <w:style w:type="character" w:styleId="Hyperlink">
    <w:name w:val="Hyperlink"/>
    <w:uiPriority w:val="99"/>
    <w:unhideWhenUsed/>
    <w:rsid w:val="00EA5E66"/>
  </w:style>
  <w:style w:type="paragraph" w:styleId="Title">
    <w:name w:val="Title"/>
    <w:basedOn w:val="Normal"/>
    <w:next w:val="Heading1"/>
    <w:link w:val="TitleChar"/>
    <w:uiPriority w:val="10"/>
    <w:qFormat/>
    <w:rsid w:val="00752443"/>
    <w:pPr>
      <w:spacing w:before="360" w:line="600" w:lineRule="atLeast"/>
      <w:contextualSpacing/>
    </w:pPr>
    <w:rPr>
      <w:rFonts w:asciiTheme="majorHAnsi" w:hAnsiTheme="majorHAnsi" w:cstheme="majorHAnsi"/>
      <w:b/>
      <w:bCs/>
      <w:caps/>
      <w:color w:val="003F41" w:themeColor="text2"/>
      <w:sz w:val="52"/>
      <w:szCs w:val="52"/>
    </w:rPr>
  </w:style>
  <w:style w:type="character" w:customStyle="1" w:styleId="TitleChar">
    <w:name w:val="Title Char"/>
    <w:basedOn w:val="DefaultParagraphFont"/>
    <w:link w:val="Title"/>
    <w:uiPriority w:val="10"/>
    <w:rsid w:val="00752443"/>
    <w:rPr>
      <w:rFonts w:asciiTheme="majorHAnsi" w:hAnsiTheme="majorHAnsi" w:cstheme="majorHAnsi"/>
      <w:b/>
      <w:bCs/>
      <w:caps/>
      <w:color w:val="003F41" w:themeColor="text2"/>
      <w:sz w:val="52"/>
      <w:szCs w:val="52"/>
    </w:rPr>
  </w:style>
  <w:style w:type="paragraph" w:styleId="Subtitle">
    <w:name w:val="Subtitle"/>
    <w:basedOn w:val="Normal"/>
    <w:next w:val="Normal"/>
    <w:link w:val="SubtitleChar"/>
    <w:uiPriority w:val="11"/>
    <w:rsid w:val="00A45E61"/>
    <w:pPr>
      <w:numPr>
        <w:ilvl w:val="1"/>
      </w:numPr>
      <w:spacing w:line="1272" w:lineRule="atLeast"/>
    </w:pPr>
    <w:rPr>
      <w:rFonts w:eastAsiaTheme="minorEastAsia"/>
      <w:b/>
      <w:bCs/>
      <w:color w:val="FFFFFF" w:themeColor="background1"/>
      <w:spacing w:val="15"/>
      <w:sz w:val="106"/>
      <w:szCs w:val="106"/>
    </w:rPr>
  </w:style>
  <w:style w:type="character" w:customStyle="1" w:styleId="SubtitleChar">
    <w:name w:val="Subtitle Char"/>
    <w:basedOn w:val="DefaultParagraphFont"/>
    <w:link w:val="Subtitle"/>
    <w:uiPriority w:val="11"/>
    <w:rsid w:val="00A45E61"/>
    <w:rPr>
      <w:rFonts w:eastAsiaTheme="minorEastAsia"/>
      <w:b/>
      <w:bCs/>
      <w:color w:val="FFFFFF" w:themeColor="background1"/>
      <w:spacing w:val="15"/>
      <w:sz w:val="106"/>
      <w:szCs w:val="106"/>
    </w:rPr>
  </w:style>
  <w:style w:type="paragraph" w:styleId="BlockText">
    <w:name w:val="Block Text"/>
    <w:basedOn w:val="Normal"/>
    <w:uiPriority w:val="99"/>
    <w:unhideWhenUsed/>
    <w:rsid w:val="00394C15"/>
    <w:pPr>
      <w:ind w:right="-583"/>
      <w:jc w:val="right"/>
    </w:pPr>
    <w:rPr>
      <w:color w:val="FFFFFF" w:themeColor="background1"/>
      <w:spacing w:val="2"/>
      <w:sz w:val="16"/>
      <w:szCs w:val="16"/>
    </w:rPr>
  </w:style>
  <w:style w:type="character" w:customStyle="1" w:styleId="Heading7Char">
    <w:name w:val="Heading 7 Char"/>
    <w:basedOn w:val="DefaultParagraphFont"/>
    <w:link w:val="Heading7"/>
    <w:uiPriority w:val="9"/>
    <w:semiHidden/>
    <w:rsid w:val="00820685"/>
    <w:rPr>
      <w:rFonts w:asciiTheme="majorHAnsi" w:eastAsiaTheme="majorEastAsia" w:hAnsiTheme="majorHAnsi" w:cstheme="majorBidi"/>
      <w:i/>
      <w:iCs/>
      <w:color w:val="001F20" w:themeColor="accent1" w:themeShade="7F"/>
      <w:sz w:val="18"/>
    </w:rPr>
  </w:style>
  <w:style w:type="paragraph" w:styleId="Date">
    <w:name w:val="Date"/>
    <w:basedOn w:val="Normal"/>
    <w:next w:val="Title"/>
    <w:link w:val="DateChar"/>
    <w:uiPriority w:val="99"/>
    <w:unhideWhenUsed/>
    <w:qFormat/>
    <w:rsid w:val="00072319"/>
    <w:pPr>
      <w:spacing w:line="240" w:lineRule="atLeast"/>
    </w:pPr>
    <w:rPr>
      <w:caps/>
      <w:color w:val="003F41" w:themeColor="text2"/>
      <w:sz w:val="20"/>
      <w:szCs w:val="20"/>
    </w:rPr>
  </w:style>
  <w:style w:type="character" w:customStyle="1" w:styleId="DateChar">
    <w:name w:val="Date Char"/>
    <w:basedOn w:val="DefaultParagraphFont"/>
    <w:link w:val="Date"/>
    <w:uiPriority w:val="99"/>
    <w:rsid w:val="00072319"/>
    <w:rPr>
      <w:caps/>
      <w:color w:val="003F41" w:themeColor="text2"/>
      <w:sz w:val="20"/>
      <w:szCs w:val="20"/>
    </w:rPr>
  </w:style>
  <w:style w:type="character" w:customStyle="1" w:styleId="UnresolvedMention1">
    <w:name w:val="Unresolved Mention1"/>
    <w:basedOn w:val="DefaultParagraphFont"/>
    <w:uiPriority w:val="99"/>
    <w:semiHidden/>
    <w:unhideWhenUsed/>
    <w:rsid w:val="007B4526"/>
    <w:rPr>
      <w:color w:val="605E5C"/>
      <w:shd w:val="clear" w:color="auto" w:fill="E1DFDD"/>
    </w:rPr>
  </w:style>
  <w:style w:type="paragraph" w:styleId="NormalWeb">
    <w:name w:val="Normal (Web)"/>
    <w:basedOn w:val="Normal"/>
    <w:uiPriority w:val="99"/>
    <w:unhideWhenUsed/>
    <w:rsid w:val="005E7A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glossarylink">
    <w:name w:val="glossarylink"/>
    <w:basedOn w:val="DefaultParagraphFont"/>
    <w:rsid w:val="005E7A7E"/>
  </w:style>
  <w:style w:type="character" w:styleId="FollowedHyperlink">
    <w:name w:val="FollowedHyperlink"/>
    <w:basedOn w:val="DefaultParagraphFont"/>
    <w:uiPriority w:val="99"/>
    <w:semiHidden/>
    <w:unhideWhenUsed/>
    <w:rsid w:val="00ED14BE"/>
    <w:rPr>
      <w:color w:val="3FF266" w:themeColor="followedHyperlink"/>
      <w:u w:val="single"/>
    </w:rPr>
  </w:style>
  <w:style w:type="paragraph" w:styleId="BalloonText">
    <w:name w:val="Balloon Text"/>
    <w:basedOn w:val="Normal"/>
    <w:link w:val="BalloonTextChar"/>
    <w:uiPriority w:val="99"/>
    <w:semiHidden/>
    <w:unhideWhenUsed/>
    <w:rsid w:val="007F500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F5004"/>
    <w:rPr>
      <w:rFonts w:ascii="Segoe UI" w:hAnsi="Segoe UI" w:cs="Segoe UI"/>
      <w:sz w:val="18"/>
      <w:szCs w:val="18"/>
    </w:rPr>
  </w:style>
  <w:style w:type="table" w:customStyle="1" w:styleId="TableGrid1">
    <w:name w:val="Table Grid1"/>
    <w:basedOn w:val="TableNormal"/>
    <w:next w:val="TableGrid"/>
    <w:uiPriority w:val="39"/>
    <w:rsid w:val="00C4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05CA"/>
    <w:rPr>
      <w:sz w:val="16"/>
      <w:szCs w:val="16"/>
    </w:rPr>
  </w:style>
  <w:style w:type="paragraph" w:styleId="CommentText">
    <w:name w:val="annotation text"/>
    <w:basedOn w:val="Normal"/>
    <w:link w:val="CommentTextChar"/>
    <w:uiPriority w:val="99"/>
    <w:unhideWhenUsed/>
    <w:rsid w:val="001005CA"/>
    <w:pPr>
      <w:spacing w:line="240" w:lineRule="auto"/>
    </w:pPr>
    <w:rPr>
      <w:sz w:val="20"/>
      <w:szCs w:val="20"/>
    </w:rPr>
  </w:style>
  <w:style w:type="character" w:customStyle="1" w:styleId="CommentTextChar">
    <w:name w:val="Comment Text Char"/>
    <w:basedOn w:val="DefaultParagraphFont"/>
    <w:link w:val="CommentText"/>
    <w:uiPriority w:val="99"/>
    <w:rsid w:val="001005CA"/>
    <w:rPr>
      <w:sz w:val="20"/>
      <w:szCs w:val="20"/>
    </w:rPr>
  </w:style>
  <w:style w:type="paragraph" w:styleId="CommentSubject">
    <w:name w:val="annotation subject"/>
    <w:basedOn w:val="CommentText"/>
    <w:next w:val="CommentText"/>
    <w:link w:val="CommentSubjectChar"/>
    <w:uiPriority w:val="99"/>
    <w:semiHidden/>
    <w:unhideWhenUsed/>
    <w:rsid w:val="001005CA"/>
    <w:rPr>
      <w:b/>
      <w:bCs/>
    </w:rPr>
  </w:style>
  <w:style w:type="character" w:customStyle="1" w:styleId="CommentSubjectChar">
    <w:name w:val="Comment Subject Char"/>
    <w:basedOn w:val="CommentTextChar"/>
    <w:link w:val="CommentSubject"/>
    <w:uiPriority w:val="99"/>
    <w:semiHidden/>
    <w:rsid w:val="001005CA"/>
    <w:rPr>
      <w:b/>
      <w:bCs/>
      <w:sz w:val="20"/>
      <w:szCs w:val="20"/>
    </w:rPr>
  </w:style>
  <w:style w:type="paragraph" w:customStyle="1" w:styleId="isselectedend">
    <w:name w:val="isselectedend"/>
    <w:basedOn w:val="Normal"/>
    <w:rsid w:val="009E79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3553">
      <w:bodyDiv w:val="1"/>
      <w:marLeft w:val="0"/>
      <w:marRight w:val="0"/>
      <w:marTop w:val="0"/>
      <w:marBottom w:val="0"/>
      <w:divBdr>
        <w:top w:val="none" w:sz="0" w:space="0" w:color="auto"/>
        <w:left w:val="none" w:sz="0" w:space="0" w:color="auto"/>
        <w:bottom w:val="none" w:sz="0" w:space="0" w:color="auto"/>
        <w:right w:val="none" w:sz="0" w:space="0" w:color="auto"/>
      </w:divBdr>
    </w:div>
    <w:div w:id="98451182">
      <w:bodyDiv w:val="1"/>
      <w:marLeft w:val="0"/>
      <w:marRight w:val="0"/>
      <w:marTop w:val="0"/>
      <w:marBottom w:val="0"/>
      <w:divBdr>
        <w:top w:val="none" w:sz="0" w:space="0" w:color="auto"/>
        <w:left w:val="none" w:sz="0" w:space="0" w:color="auto"/>
        <w:bottom w:val="none" w:sz="0" w:space="0" w:color="auto"/>
        <w:right w:val="none" w:sz="0" w:space="0" w:color="auto"/>
      </w:divBdr>
    </w:div>
    <w:div w:id="121581307">
      <w:bodyDiv w:val="1"/>
      <w:marLeft w:val="0"/>
      <w:marRight w:val="0"/>
      <w:marTop w:val="0"/>
      <w:marBottom w:val="0"/>
      <w:divBdr>
        <w:top w:val="none" w:sz="0" w:space="0" w:color="auto"/>
        <w:left w:val="none" w:sz="0" w:space="0" w:color="auto"/>
        <w:bottom w:val="none" w:sz="0" w:space="0" w:color="auto"/>
        <w:right w:val="none" w:sz="0" w:space="0" w:color="auto"/>
      </w:divBdr>
    </w:div>
    <w:div w:id="335039066">
      <w:bodyDiv w:val="1"/>
      <w:marLeft w:val="0"/>
      <w:marRight w:val="0"/>
      <w:marTop w:val="0"/>
      <w:marBottom w:val="0"/>
      <w:divBdr>
        <w:top w:val="none" w:sz="0" w:space="0" w:color="auto"/>
        <w:left w:val="none" w:sz="0" w:space="0" w:color="auto"/>
        <w:bottom w:val="none" w:sz="0" w:space="0" w:color="auto"/>
        <w:right w:val="none" w:sz="0" w:space="0" w:color="auto"/>
      </w:divBdr>
      <w:divsChild>
        <w:div w:id="677849208">
          <w:marLeft w:val="0"/>
          <w:marRight w:val="0"/>
          <w:marTop w:val="0"/>
          <w:marBottom w:val="0"/>
          <w:divBdr>
            <w:top w:val="none" w:sz="0" w:space="0" w:color="auto"/>
            <w:left w:val="none" w:sz="0" w:space="0" w:color="auto"/>
            <w:bottom w:val="none" w:sz="0" w:space="0" w:color="auto"/>
            <w:right w:val="none" w:sz="0" w:space="0" w:color="auto"/>
          </w:divBdr>
          <w:divsChild>
            <w:div w:id="1169060776">
              <w:marLeft w:val="0"/>
              <w:marRight w:val="0"/>
              <w:marTop w:val="0"/>
              <w:marBottom w:val="0"/>
              <w:divBdr>
                <w:top w:val="none" w:sz="0" w:space="0" w:color="auto"/>
                <w:left w:val="none" w:sz="0" w:space="0" w:color="auto"/>
                <w:bottom w:val="none" w:sz="0" w:space="0" w:color="auto"/>
                <w:right w:val="none" w:sz="0" w:space="0" w:color="auto"/>
              </w:divBdr>
              <w:divsChild>
                <w:div w:id="363292120">
                  <w:marLeft w:val="0"/>
                  <w:marRight w:val="0"/>
                  <w:marTop w:val="0"/>
                  <w:marBottom w:val="0"/>
                  <w:divBdr>
                    <w:top w:val="none" w:sz="0" w:space="0" w:color="auto"/>
                    <w:left w:val="none" w:sz="0" w:space="0" w:color="auto"/>
                    <w:bottom w:val="none" w:sz="0" w:space="0" w:color="auto"/>
                    <w:right w:val="none" w:sz="0" w:space="0" w:color="auto"/>
                  </w:divBdr>
                  <w:divsChild>
                    <w:div w:id="140462065">
                      <w:marLeft w:val="0"/>
                      <w:marRight w:val="0"/>
                      <w:marTop w:val="0"/>
                      <w:marBottom w:val="0"/>
                      <w:divBdr>
                        <w:top w:val="none" w:sz="0" w:space="0" w:color="auto"/>
                        <w:left w:val="none" w:sz="0" w:space="0" w:color="auto"/>
                        <w:bottom w:val="none" w:sz="0" w:space="0" w:color="auto"/>
                        <w:right w:val="none" w:sz="0" w:space="0" w:color="auto"/>
                      </w:divBdr>
                      <w:divsChild>
                        <w:div w:id="1885363000">
                          <w:marLeft w:val="0"/>
                          <w:marRight w:val="0"/>
                          <w:marTop w:val="0"/>
                          <w:marBottom w:val="0"/>
                          <w:divBdr>
                            <w:top w:val="none" w:sz="0" w:space="0" w:color="auto"/>
                            <w:left w:val="none" w:sz="0" w:space="0" w:color="auto"/>
                            <w:bottom w:val="none" w:sz="0" w:space="0" w:color="auto"/>
                            <w:right w:val="none" w:sz="0" w:space="0" w:color="auto"/>
                          </w:divBdr>
                          <w:divsChild>
                            <w:div w:id="7688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0037">
      <w:bodyDiv w:val="1"/>
      <w:marLeft w:val="0"/>
      <w:marRight w:val="0"/>
      <w:marTop w:val="0"/>
      <w:marBottom w:val="0"/>
      <w:divBdr>
        <w:top w:val="none" w:sz="0" w:space="0" w:color="auto"/>
        <w:left w:val="none" w:sz="0" w:space="0" w:color="auto"/>
        <w:bottom w:val="none" w:sz="0" w:space="0" w:color="auto"/>
        <w:right w:val="none" w:sz="0" w:space="0" w:color="auto"/>
      </w:divBdr>
      <w:divsChild>
        <w:div w:id="805045973">
          <w:marLeft w:val="0"/>
          <w:marRight w:val="0"/>
          <w:marTop w:val="0"/>
          <w:marBottom w:val="0"/>
          <w:divBdr>
            <w:top w:val="none" w:sz="0" w:space="0" w:color="auto"/>
            <w:left w:val="none" w:sz="0" w:space="0" w:color="auto"/>
            <w:bottom w:val="none" w:sz="0" w:space="0" w:color="auto"/>
            <w:right w:val="none" w:sz="0" w:space="0" w:color="auto"/>
          </w:divBdr>
          <w:divsChild>
            <w:div w:id="125049459">
              <w:marLeft w:val="0"/>
              <w:marRight w:val="0"/>
              <w:marTop w:val="0"/>
              <w:marBottom w:val="0"/>
              <w:divBdr>
                <w:top w:val="none" w:sz="0" w:space="0" w:color="auto"/>
                <w:left w:val="none" w:sz="0" w:space="0" w:color="auto"/>
                <w:bottom w:val="none" w:sz="0" w:space="0" w:color="auto"/>
                <w:right w:val="none" w:sz="0" w:space="0" w:color="auto"/>
              </w:divBdr>
              <w:divsChild>
                <w:div w:id="2111778949">
                  <w:marLeft w:val="0"/>
                  <w:marRight w:val="0"/>
                  <w:marTop w:val="0"/>
                  <w:marBottom w:val="0"/>
                  <w:divBdr>
                    <w:top w:val="none" w:sz="0" w:space="0" w:color="auto"/>
                    <w:left w:val="none" w:sz="0" w:space="0" w:color="auto"/>
                    <w:bottom w:val="none" w:sz="0" w:space="0" w:color="auto"/>
                    <w:right w:val="none" w:sz="0" w:space="0" w:color="auto"/>
                  </w:divBdr>
                  <w:divsChild>
                    <w:div w:id="1498577475">
                      <w:marLeft w:val="0"/>
                      <w:marRight w:val="0"/>
                      <w:marTop w:val="0"/>
                      <w:marBottom w:val="0"/>
                      <w:divBdr>
                        <w:top w:val="none" w:sz="0" w:space="0" w:color="auto"/>
                        <w:left w:val="none" w:sz="0" w:space="0" w:color="auto"/>
                        <w:bottom w:val="none" w:sz="0" w:space="0" w:color="auto"/>
                        <w:right w:val="none" w:sz="0" w:space="0" w:color="auto"/>
                      </w:divBdr>
                      <w:divsChild>
                        <w:div w:id="783382705">
                          <w:marLeft w:val="0"/>
                          <w:marRight w:val="0"/>
                          <w:marTop w:val="0"/>
                          <w:marBottom w:val="0"/>
                          <w:divBdr>
                            <w:top w:val="none" w:sz="0" w:space="0" w:color="auto"/>
                            <w:left w:val="none" w:sz="0" w:space="0" w:color="auto"/>
                            <w:bottom w:val="none" w:sz="0" w:space="0" w:color="auto"/>
                            <w:right w:val="none" w:sz="0" w:space="0" w:color="auto"/>
                          </w:divBdr>
                          <w:divsChild>
                            <w:div w:id="4191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499186">
      <w:bodyDiv w:val="1"/>
      <w:marLeft w:val="0"/>
      <w:marRight w:val="0"/>
      <w:marTop w:val="0"/>
      <w:marBottom w:val="0"/>
      <w:divBdr>
        <w:top w:val="none" w:sz="0" w:space="0" w:color="auto"/>
        <w:left w:val="none" w:sz="0" w:space="0" w:color="auto"/>
        <w:bottom w:val="none" w:sz="0" w:space="0" w:color="auto"/>
        <w:right w:val="none" w:sz="0" w:space="0" w:color="auto"/>
      </w:divBdr>
    </w:div>
    <w:div w:id="747654725">
      <w:bodyDiv w:val="1"/>
      <w:marLeft w:val="0"/>
      <w:marRight w:val="0"/>
      <w:marTop w:val="0"/>
      <w:marBottom w:val="0"/>
      <w:divBdr>
        <w:top w:val="none" w:sz="0" w:space="0" w:color="auto"/>
        <w:left w:val="none" w:sz="0" w:space="0" w:color="auto"/>
        <w:bottom w:val="none" w:sz="0" w:space="0" w:color="auto"/>
        <w:right w:val="none" w:sz="0" w:space="0" w:color="auto"/>
      </w:divBdr>
    </w:div>
    <w:div w:id="755633974">
      <w:bodyDiv w:val="1"/>
      <w:marLeft w:val="0"/>
      <w:marRight w:val="0"/>
      <w:marTop w:val="0"/>
      <w:marBottom w:val="0"/>
      <w:divBdr>
        <w:top w:val="none" w:sz="0" w:space="0" w:color="auto"/>
        <w:left w:val="none" w:sz="0" w:space="0" w:color="auto"/>
        <w:bottom w:val="none" w:sz="0" w:space="0" w:color="auto"/>
        <w:right w:val="none" w:sz="0" w:space="0" w:color="auto"/>
      </w:divBdr>
    </w:div>
    <w:div w:id="1553543733">
      <w:bodyDiv w:val="1"/>
      <w:marLeft w:val="0"/>
      <w:marRight w:val="0"/>
      <w:marTop w:val="0"/>
      <w:marBottom w:val="0"/>
      <w:divBdr>
        <w:top w:val="none" w:sz="0" w:space="0" w:color="auto"/>
        <w:left w:val="none" w:sz="0" w:space="0" w:color="auto"/>
        <w:bottom w:val="none" w:sz="0" w:space="0" w:color="auto"/>
        <w:right w:val="none" w:sz="0" w:space="0" w:color="auto"/>
      </w:divBdr>
    </w:div>
    <w:div w:id="19983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rides Theme Colours">
      <a:dk1>
        <a:sysClr val="windowText" lastClr="000000"/>
      </a:dk1>
      <a:lt1>
        <a:sysClr val="window" lastClr="FFFFFF"/>
      </a:lt1>
      <a:dk2>
        <a:srgbClr val="003F41"/>
      </a:dk2>
      <a:lt2>
        <a:srgbClr val="E7E6E6"/>
      </a:lt2>
      <a:accent1>
        <a:srgbClr val="003F41"/>
      </a:accent1>
      <a:accent2>
        <a:srgbClr val="3FF266"/>
      </a:accent2>
      <a:accent3>
        <a:srgbClr val="FDEEF6"/>
      </a:accent3>
      <a:accent4>
        <a:srgbClr val="003F41"/>
      </a:accent4>
      <a:accent5>
        <a:srgbClr val="3FF266"/>
      </a:accent5>
      <a:accent6>
        <a:srgbClr val="FDEEF6"/>
      </a:accent6>
      <a:hlink>
        <a:srgbClr val="003F41"/>
      </a:hlink>
      <a:folHlink>
        <a:srgbClr val="3FF266"/>
      </a:folHlink>
    </a:clrScheme>
    <a:fontScheme name="Strides Theme Fonts">
      <a:majorFont>
        <a:latin typeface="Rubik Extra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3D2A611A668419854EC0C8BD6F48C" ma:contentTypeVersion="8" ma:contentTypeDescription="Create a new document." ma:contentTypeScope="" ma:versionID="095676326efc09d89a7b7d90aa5710ec">
  <xsd:schema xmlns:xsd="http://www.w3.org/2001/XMLSchema" xmlns:xs="http://www.w3.org/2001/XMLSchema" xmlns:p="http://schemas.microsoft.com/office/2006/metadata/properties" xmlns:ns3="5c1132fd-cce5-4a64-9814-b292962bc514" targetNamespace="http://schemas.microsoft.com/office/2006/metadata/properties" ma:root="true" ma:fieldsID="6ced862be324dc284dd97b2f29db4983" ns3:_="">
    <xsd:import namespace="5c1132fd-cce5-4a64-9814-b292962bc5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132fd-cce5-4a64-9814-b292962bc5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21EA-050D-4D01-8FDD-C305697A21AF}">
  <ds:schemaRefs>
    <ds:schemaRef ds:uri="http://schemas.microsoft.com/sharepoint/v3/contenttype/forms"/>
  </ds:schemaRefs>
</ds:datastoreItem>
</file>

<file path=customXml/itemProps2.xml><?xml version="1.0" encoding="utf-8"?>
<ds:datastoreItem xmlns:ds="http://schemas.openxmlformats.org/officeDocument/2006/customXml" ds:itemID="{2A00595F-B6A8-466C-BF0C-809B8C801F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EA3EB-8E4C-4BCE-B933-9847CFF1F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132fd-cce5-4a64-9814-b292962bc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0DBB9-3942-46B0-9C4F-70F8A34C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McLellan</dc:creator>
  <cp:keywords/>
  <dc:description/>
  <cp:lastModifiedBy>Elly Greig</cp:lastModifiedBy>
  <cp:revision>7</cp:revision>
  <cp:lastPrinted>2025-01-21T13:26:00Z</cp:lastPrinted>
  <dcterms:created xsi:type="dcterms:W3CDTF">2026-07-01T13:48:00Z</dcterms:created>
  <dcterms:modified xsi:type="dcterms:W3CDTF">2026-07-01T14:24:00Z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0x0101005603D2A611A668419854EC0C8BD6F48C</vt:lpwstr>
  </property>
  <property fmtid="{D5CDD505-2E9C-101B-9397-08002B2CF9AE}" pid="3" name="Order">
    <vt:r8>4371800</vt:r8>
  </property>
</Properties>
</file>